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200660</wp:posOffset>
            </wp:positionV>
            <wp:extent cx="30003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43"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74930</wp:posOffset>
            </wp:positionV>
            <wp:extent cx="3000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October 29, 2024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BXP, INC.</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BOSTON PROPERTIES LIMITED PARTNERSHIP</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Registrants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280" w:type="dxa"/>
        <w:tblCellMar>
          <w:top w:w="0" w:type="dxa"/>
          <w:left w:w="0" w:type="dxa"/>
          <w:bottom w:w="0" w:type="dxa"/>
          <w:right w:w="0" w:type="dxa"/>
        </w:tblCellMar>
      </w:tblPr>
      <w:tr>
        <w:trPr>
          <w:trHeight w:val="275"/>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BXP, Inc.</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tcPr>
          <w:p>
            <w:pPr>
              <w:jc w:val="center"/>
              <w:ind w:right="75"/>
              <w:spacing w:after="0"/>
              <w:rPr>
                <w:sz w:val="20"/>
                <w:szCs w:val="20"/>
                <w:color w:val="auto"/>
              </w:rPr>
            </w:pPr>
            <w:r>
              <w:rPr>
                <w:rFonts w:ascii="Arial" w:cs="Arial" w:eastAsia="Arial" w:hAnsi="Arial"/>
                <w:sz w:val="18"/>
                <w:szCs w:val="18"/>
                <w:b w:val="1"/>
                <w:bCs w:val="1"/>
                <w:color w:val="auto"/>
                <w:w w:val="99"/>
              </w:rPr>
              <w:t>1-13087</w:t>
            </w:r>
          </w:p>
        </w:tc>
        <w:tc>
          <w:tcPr>
            <w:tcW w:w="1860" w:type="dxa"/>
            <w:vAlign w:val="bottom"/>
          </w:tcPr>
          <w:p>
            <w:pPr>
              <w:jc w:val="center"/>
              <w:ind w:left="536"/>
              <w:spacing w:after="0"/>
              <w:rPr>
                <w:sz w:val="20"/>
                <w:szCs w:val="20"/>
                <w:color w:val="auto"/>
              </w:rPr>
            </w:pPr>
            <w:r>
              <w:rPr>
                <w:rFonts w:ascii="Arial" w:cs="Arial" w:eastAsia="Arial" w:hAnsi="Arial"/>
                <w:sz w:val="18"/>
                <w:szCs w:val="18"/>
                <w:b w:val="1"/>
                <w:bCs w:val="1"/>
                <w:color w:val="auto"/>
                <w:w w:val="99"/>
              </w:rPr>
              <w:t>04-2473675</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3"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3"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3"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rPr>
              <w:t>Boston Properties Limited</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vMerge w:val="restart"/>
          </w:tcPr>
          <w:p>
            <w:pPr>
              <w:jc w:val="center"/>
              <w:ind w:right="75"/>
              <w:spacing w:after="0"/>
              <w:rPr>
                <w:sz w:val="20"/>
                <w:szCs w:val="20"/>
                <w:color w:val="auto"/>
              </w:rPr>
            </w:pPr>
            <w:r>
              <w:rPr>
                <w:rFonts w:ascii="Arial" w:cs="Arial" w:eastAsia="Arial" w:hAnsi="Arial"/>
                <w:sz w:val="18"/>
                <w:szCs w:val="18"/>
                <w:b w:val="1"/>
                <w:bCs w:val="1"/>
                <w:color w:val="auto"/>
                <w:w w:val="99"/>
              </w:rPr>
              <w:t>0-50209</w:t>
            </w:r>
          </w:p>
        </w:tc>
        <w:tc>
          <w:tcPr>
            <w:tcW w:w="1860" w:type="dxa"/>
            <w:vAlign w:val="bottom"/>
            <w:vMerge w:val="restart"/>
          </w:tcPr>
          <w:p>
            <w:pPr>
              <w:jc w:val="center"/>
              <w:ind w:left="536"/>
              <w:spacing w:after="0"/>
              <w:rPr>
                <w:sz w:val="20"/>
                <w:szCs w:val="20"/>
                <w:color w:val="auto"/>
              </w:rPr>
            </w:pPr>
            <w:r>
              <w:rPr>
                <w:rFonts w:ascii="Arial" w:cs="Arial" w:eastAsia="Arial" w:hAnsi="Arial"/>
                <w:sz w:val="18"/>
                <w:szCs w:val="18"/>
                <w:b w:val="1"/>
                <w:bCs w:val="1"/>
                <w:color w:val="auto"/>
                <w:w w:val="99"/>
              </w:rPr>
              <w:t>04-3372948</w:t>
            </w:r>
          </w:p>
        </w:tc>
        <w:tc>
          <w:tcPr>
            <w:tcW w:w="0" w:type="dxa"/>
            <w:vAlign w:val="bottom"/>
          </w:tcPr>
          <w:p>
            <w:pPr>
              <w:spacing w:after="0"/>
              <w:rPr>
                <w:sz w:val="1"/>
                <w:szCs w:val="1"/>
                <w:color w:val="auto"/>
              </w:rPr>
            </w:pPr>
          </w:p>
        </w:tc>
      </w:tr>
      <w:tr>
        <w:trPr>
          <w:trHeight w:val="234"/>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Partnership</w:t>
            </w:r>
          </w:p>
        </w:tc>
        <w:tc>
          <w:tcPr>
            <w:tcW w:w="272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3"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3"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3"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800 Boylston Street, Suite 1900, Boston, Massachusetts 02199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(617) 236-3300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391" w:lineRule="exact"/>
        <w:rPr>
          <w:sz w:val="24"/>
          <w:szCs w:val="24"/>
          <w:color w:val="auto"/>
        </w:rPr>
      </w:pPr>
    </w:p>
    <w:p>
      <w:pPr>
        <w:spacing w:after="0" w:line="278"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registrants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4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94"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94"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Registrant</w:t>
            </w:r>
          </w:p>
        </w:tc>
        <w:tc>
          <w:tcPr>
            <w:tcW w:w="80" w:type="dxa"/>
            <w:vAlign w:val="bottom"/>
            <w:vMerge w:val="restart"/>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80" w:type="dxa"/>
            <w:vAlign w:val="bottom"/>
            <w:vMerge w:val="restart"/>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Trading Symbol(s)</w:t>
            </w:r>
          </w:p>
        </w:tc>
        <w:tc>
          <w:tcPr>
            <w:tcW w:w="80" w:type="dxa"/>
            <w:vAlign w:val="bottom"/>
            <w:vMerge w:val="restart"/>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9"/>
              </w:rPr>
              <w:t>Name of each</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88"/>
        </w:trPr>
        <w:tc>
          <w:tcPr>
            <w:tcW w:w="2620" w:type="dxa"/>
            <w:vAlign w:val="bottom"/>
            <w:gridSpan w:val="2"/>
            <w:vMerge w:val="restart"/>
          </w:tcPr>
          <w:p>
            <w:pPr>
              <w:ind w:left="880"/>
              <w:spacing w:after="0"/>
              <w:rPr>
                <w:sz w:val="20"/>
                <w:szCs w:val="20"/>
                <w:color w:val="auto"/>
              </w:rPr>
            </w:pPr>
            <w:r>
              <w:rPr>
                <w:rFonts w:ascii="Arial" w:cs="Arial" w:eastAsia="Arial" w:hAnsi="Arial"/>
                <w:sz w:val="20"/>
                <w:szCs w:val="20"/>
                <w:color w:val="auto"/>
              </w:rPr>
              <w:t>BXP, Inc.</w:t>
            </w:r>
          </w:p>
        </w:tc>
        <w:tc>
          <w:tcPr>
            <w:tcW w:w="3360" w:type="dxa"/>
            <w:vAlign w:val="bottom"/>
          </w:tcPr>
          <w:p>
            <w:pPr>
              <w:jc w:val="center"/>
              <w:spacing w:after="0" w:line="188" w:lineRule="exact"/>
              <w:rPr>
                <w:sz w:val="20"/>
                <w:szCs w:val="20"/>
                <w:color w:val="auto"/>
              </w:rPr>
            </w:pPr>
            <w:r>
              <w:rPr>
                <w:rFonts w:ascii="Arial" w:cs="Arial" w:eastAsia="Arial" w:hAnsi="Arial"/>
                <w:sz w:val="20"/>
                <w:szCs w:val="20"/>
                <w:color w:val="auto"/>
                <w:w w:val="98"/>
              </w:rPr>
              <w:t>Common Stock, par value $0.01 per</w:t>
            </w:r>
          </w:p>
        </w:tc>
        <w:tc>
          <w:tcPr>
            <w:tcW w:w="80" w:type="dxa"/>
            <w:vAlign w:val="bottom"/>
          </w:tcPr>
          <w:p>
            <w:pPr>
              <w:spacing w:after="0"/>
              <w:rPr>
                <w:sz w:val="16"/>
                <w:szCs w:val="16"/>
                <w:color w:val="auto"/>
              </w:rPr>
            </w:pPr>
          </w:p>
        </w:tc>
        <w:tc>
          <w:tcPr>
            <w:tcW w:w="222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9"/>
              </w:rPr>
              <w:t>BXP</w:t>
            </w:r>
          </w:p>
        </w:tc>
        <w:tc>
          <w:tcPr>
            <w:tcW w:w="2960" w:type="dxa"/>
            <w:vAlign w:val="bottom"/>
            <w:vMerge w:val="restart"/>
          </w:tcPr>
          <w:p>
            <w:pPr>
              <w:jc w:val="center"/>
              <w:spacing w:after="0"/>
              <w:rPr>
                <w:sz w:val="20"/>
                <w:szCs w:val="20"/>
                <w:color w:val="auto"/>
              </w:rPr>
            </w:pPr>
            <w:r>
              <w:rPr>
                <w:rFonts w:ascii="Arial" w:cs="Arial" w:eastAsia="Arial" w:hAnsi="Arial"/>
                <w:sz w:val="20"/>
                <w:szCs w:val="20"/>
                <w:color w:val="auto"/>
                <w:w w:val="97"/>
              </w:rPr>
              <w:t>New York Stock Exchange</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3440" w:type="dxa"/>
            <w:vAlign w:val="bottom"/>
            <w:gridSpan w:val="2"/>
            <w:vMerge w:val="restart"/>
          </w:tcPr>
          <w:p>
            <w:pPr>
              <w:jc w:val="center"/>
              <w:ind w:right="80"/>
              <w:spacing w:after="0"/>
              <w:rPr>
                <w:sz w:val="20"/>
                <w:szCs w:val="20"/>
                <w:color w:val="auto"/>
              </w:rPr>
            </w:pPr>
            <w:r>
              <w:rPr>
                <w:rFonts w:ascii="Arial" w:cs="Arial" w:eastAsia="Arial" w:hAnsi="Arial"/>
                <w:sz w:val="20"/>
                <w:szCs w:val="20"/>
                <w:color w:val="auto"/>
                <w:w w:val="95"/>
              </w:rPr>
              <w:t>share</w:t>
            </w:r>
          </w:p>
        </w:tc>
        <w:tc>
          <w:tcPr>
            <w:tcW w:w="2220" w:type="dxa"/>
            <w:vAlign w:val="bottom"/>
            <w:gridSpan w:val="2"/>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05"/>
        <w:spacing w:after="0" w:line="255"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BXP, Inc.:</w:t>
      </w:r>
    </w:p>
    <w:p>
      <w:pPr>
        <w:spacing w:after="0" w:line="8"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Boston Properties Limited Partnership:</w:t>
      </w:r>
    </w:p>
    <w:p>
      <w:pPr>
        <w:spacing w:after="0" w:line="26"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right="40" w:firstLine="405"/>
        <w:spacing w:after="0" w:line="269"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9" w:lineRule="exact"/>
        <w:rPr>
          <w:sz w:val="20"/>
          <w:szCs w:val="20"/>
          <w:color w:val="auto"/>
        </w:rPr>
      </w:pPr>
    </w:p>
    <w:p>
      <w:pPr>
        <w:ind w:left="420"/>
        <w:spacing w:after="0" w:line="230" w:lineRule="exact"/>
        <w:tabs>
          <w:tab w:leader="none" w:pos="1920" w:val="left"/>
        </w:tabs>
        <w:rPr>
          <w:sz w:val="20"/>
          <w:szCs w:val="20"/>
          <w:color w:val="auto"/>
        </w:rPr>
      </w:pPr>
      <w:r>
        <w:rPr>
          <w:rFonts w:ascii="Arial" w:cs="Arial" w:eastAsia="Arial" w:hAnsi="Arial"/>
          <w:sz w:val="20"/>
          <w:szCs w:val="20"/>
          <w:color w:val="auto"/>
        </w:rPr>
        <w:t xml:space="preserve">BXP, Inc.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Boston Properties Limited Partnership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 w:name="page3"/>
    <w:bookmarkEnd w:id="2"/>
    <w:p>
      <w:pPr>
        <w:ind w:left="40"/>
        <w:spacing w:after="0"/>
        <w:tabs>
          <w:tab w:leader="none" w:pos="116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69"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information in this Item 2.02 - “Results of Operations and Financial Condition” is being furnished. Such information, including Exhibits 99.1 and 99.2 hereto, shall not be deemed “filed” for any purpose, including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regardless of any general incorporation language in such filing.</w:t>
      </w:r>
    </w:p>
    <w:p>
      <w:pPr>
        <w:spacing w:after="0" w:line="21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On October 29, 2024, BXP, Inc. (the “Company”), the general partner of Boston Properties Limited Partnership, issued a press release announcing its financial results for the third quarter ended 2024. That press release referred to certain supplemental information that is available on the Company’s website. The text of the supplemental information and the press release are attached hereto as Exhibits 99.1 and 99.2, respectively, and are incorporated by reference herein.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60" w:type="dxa"/>
            <w:vAlign w:val="bottom"/>
            <w:gridSpan w:val="4"/>
          </w:tcPr>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i w:val="1"/>
                <w:iCs w:val="1"/>
                <w:color w:val="auto"/>
              </w:rPr>
              <w:t>Exhibits.</w:t>
            </w:r>
          </w:p>
        </w:tc>
        <w:tc>
          <w:tcPr>
            <w:tcW w:w="9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63"/>
        </w:trPr>
        <w:tc>
          <w:tcPr>
            <w:tcW w:w="3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0"/>
                <w:szCs w:val="20"/>
                <w:color w:val="auto"/>
                <w:w w:val="97"/>
              </w:rPr>
              <w:t>Exhibit No.</w:t>
            </w:r>
          </w:p>
        </w:tc>
        <w:tc>
          <w:tcPr>
            <w:tcW w:w="540" w:type="dxa"/>
            <w:vAlign w:val="bottom"/>
            <w:gridSpan w:val="2"/>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20"/>
                <w:szCs w:val="20"/>
                <w:color w:val="auto"/>
              </w:rPr>
              <w:t>Description</w:t>
            </w:r>
          </w:p>
        </w:tc>
      </w:tr>
      <w:tr>
        <w:trPr>
          <w:trHeight w:val="20"/>
        </w:trPr>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320" w:type="dxa"/>
            <w:vAlign w:val="bottom"/>
            <w:gridSpan w:val="2"/>
          </w:tcPr>
          <w:p>
            <w:pPr>
              <w:ind w:left="360"/>
              <w:spacing w:after="0"/>
              <w:rPr>
                <w:sz w:val="20"/>
                <w:szCs w:val="20"/>
                <w:color w:val="auto"/>
              </w:rPr>
            </w:pPr>
            <w:r>
              <w:rPr>
                <w:rFonts w:ascii="Arial" w:cs="Arial" w:eastAsia="Arial" w:hAnsi="Arial"/>
                <w:sz w:val="20"/>
                <w:szCs w:val="20"/>
                <w:color w:val="auto"/>
              </w:rPr>
              <w:t>*99.1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8"/>
              </w:rPr>
              <w:t>BXP, Inc. Supplemental Operating and Financial Data for the quarter ended September 30, 2024.</w:t>
            </w:r>
          </w:p>
        </w:tc>
        <w:tc>
          <w:tcPr>
            <w:tcW w:w="880" w:type="dxa"/>
            <w:vAlign w:val="bottom"/>
          </w:tcPr>
          <w:p>
            <w:pPr>
              <w:spacing w:after="0"/>
              <w:rPr>
                <w:sz w:val="20"/>
                <w:szCs w:val="20"/>
                <w:color w:val="auto"/>
              </w:rPr>
            </w:pPr>
          </w:p>
        </w:tc>
      </w:tr>
      <w:tr>
        <w:trPr>
          <w:trHeight w:val="236"/>
        </w:trPr>
        <w:tc>
          <w:tcPr>
            <w:tcW w:w="1320" w:type="dxa"/>
            <w:vAlign w:val="bottom"/>
            <w:gridSpan w:val="2"/>
          </w:tcPr>
          <w:p>
            <w:pPr>
              <w:ind w:left="360"/>
              <w:spacing w:after="0"/>
              <w:rPr>
                <w:sz w:val="20"/>
                <w:szCs w:val="20"/>
                <w:color w:val="auto"/>
              </w:rPr>
            </w:pPr>
            <w:r>
              <w:rPr>
                <w:rFonts w:ascii="Arial" w:cs="Arial" w:eastAsia="Arial" w:hAnsi="Arial"/>
                <w:sz w:val="20"/>
                <w:szCs w:val="20"/>
                <w:color w:val="auto"/>
              </w:rPr>
              <w:t>*99.2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8"/>
              </w:rPr>
              <w:t>Press release dated October 29, 2024.</w:t>
            </w:r>
          </w:p>
        </w:tc>
        <w:tc>
          <w:tcPr>
            <w:tcW w:w="5980" w:type="dxa"/>
            <w:vAlign w:val="bottom"/>
            <w:gridSpan w:val="2"/>
          </w:tcPr>
          <w:p>
            <w:pPr>
              <w:spacing w:after="0"/>
              <w:rPr>
                <w:sz w:val="20"/>
                <w:szCs w:val="20"/>
                <w:color w:val="auto"/>
              </w:rPr>
            </w:pPr>
          </w:p>
        </w:tc>
      </w:tr>
      <w:tr>
        <w:trPr>
          <w:trHeight w:val="282"/>
        </w:trPr>
        <w:tc>
          <w:tcPr>
            <w:tcW w:w="360" w:type="dxa"/>
            <w:vAlign w:val="bottom"/>
          </w:tcPr>
          <w:p>
            <w:pPr>
              <w:spacing w:after="0"/>
              <w:rPr>
                <w:sz w:val="24"/>
                <w:szCs w:val="24"/>
                <w:color w:val="auto"/>
              </w:rPr>
            </w:pPr>
          </w:p>
        </w:tc>
        <w:tc>
          <w:tcPr>
            <w:tcW w:w="1500" w:type="dxa"/>
            <w:vAlign w:val="bottom"/>
            <w:gridSpan w:val="3"/>
          </w:tcPr>
          <w:p>
            <w:pPr>
              <w:jc w:val="center"/>
              <w:ind w:right="620"/>
              <w:spacing w:after="0"/>
              <w:rPr>
                <w:sz w:val="20"/>
                <w:szCs w:val="20"/>
                <w:color w:val="auto"/>
              </w:rPr>
            </w:pPr>
            <w:r>
              <w:rPr>
                <w:rFonts w:ascii="Arial" w:cs="Arial" w:eastAsia="Arial" w:hAnsi="Arial"/>
                <w:sz w:val="20"/>
                <w:szCs w:val="20"/>
                <w:color w:val="auto"/>
                <w:w w:val="98"/>
              </w:rPr>
              <w:t>*101.SCH</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257"/>
        </w:trPr>
        <w:tc>
          <w:tcPr>
            <w:tcW w:w="360" w:type="dxa"/>
            <w:vAlign w:val="bottom"/>
          </w:tcPr>
          <w:p>
            <w:pPr>
              <w:spacing w:after="0"/>
              <w:rPr>
                <w:sz w:val="22"/>
                <w:szCs w:val="22"/>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20"/>
                <w:szCs w:val="20"/>
                <w:color w:val="auto"/>
                <w:w w:val="99"/>
              </w:rPr>
              <w:t>*101.LAB</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57"/>
        </w:trPr>
        <w:tc>
          <w:tcPr>
            <w:tcW w:w="360" w:type="dxa"/>
            <w:vAlign w:val="bottom"/>
          </w:tcPr>
          <w:p>
            <w:pPr>
              <w:spacing w:after="0"/>
              <w:rPr>
                <w:sz w:val="22"/>
                <w:szCs w:val="22"/>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20"/>
                <w:szCs w:val="20"/>
                <w:color w:val="auto"/>
                <w:w w:val="97"/>
              </w:rPr>
              <w:t>*101.PRE</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256"/>
        </w:trPr>
        <w:tc>
          <w:tcPr>
            <w:tcW w:w="360" w:type="dxa"/>
            <w:vAlign w:val="bottom"/>
          </w:tcPr>
          <w:p>
            <w:pPr>
              <w:spacing w:after="0"/>
              <w:rPr>
                <w:sz w:val="22"/>
                <w:szCs w:val="22"/>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20"/>
                <w:szCs w:val="20"/>
                <w:color w:val="auto"/>
                <w:w w:val="99"/>
              </w:rPr>
              <w:t>*101.DEF</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03"/>
        </w:trPr>
        <w:tc>
          <w:tcPr>
            <w:tcW w:w="1320" w:type="dxa"/>
            <w:vAlign w:val="bottom"/>
            <w:gridSpan w:val="2"/>
          </w:tcPr>
          <w:p>
            <w:pPr>
              <w:ind w:left="360"/>
              <w:spacing w:after="0" w:line="203" w:lineRule="exact"/>
              <w:rPr>
                <w:sz w:val="20"/>
                <w:szCs w:val="20"/>
                <w:color w:val="auto"/>
              </w:rPr>
            </w:pPr>
            <w:r>
              <w:rPr>
                <w:rFonts w:ascii="Arial" w:cs="Arial" w:eastAsia="Arial" w:hAnsi="Arial"/>
                <w:sz w:val="20"/>
                <w:szCs w:val="20"/>
                <w:color w:val="auto"/>
              </w:rPr>
              <w:t>*104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gridSpan w:val="4"/>
          </w:tcPr>
          <w:p>
            <w:pPr>
              <w:spacing w:after="0" w:line="203" w:lineRule="exact"/>
              <w:rPr>
                <w:sz w:val="20"/>
                <w:szCs w:val="20"/>
                <w:color w:val="auto"/>
              </w:rPr>
            </w:pPr>
            <w:r>
              <w:rPr>
                <w:rFonts w:ascii="Arial" w:cs="Arial" w:eastAsia="Arial" w:hAnsi="Arial"/>
                <w:sz w:val="20"/>
                <w:szCs w:val="20"/>
                <w:color w:val="auto"/>
              </w:rPr>
              <w:t>Cover Page Interactive Data File (formatted as Inline XBRL with applicable taxonomy extension</w:t>
            </w:r>
          </w:p>
        </w:tc>
      </w:tr>
      <w:tr>
        <w:trPr>
          <w:trHeight w:val="261"/>
        </w:trPr>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380" w:type="dxa"/>
            <w:vAlign w:val="bottom"/>
            <w:gridSpan w:val="4"/>
          </w:tcPr>
          <w:p>
            <w:pPr>
              <w:spacing w:after="0"/>
              <w:rPr>
                <w:sz w:val="20"/>
                <w:szCs w:val="20"/>
                <w:color w:val="auto"/>
              </w:rPr>
            </w:pPr>
            <w:r>
              <w:rPr>
                <w:rFonts w:ascii="Arial" w:cs="Arial" w:eastAsia="Arial" w:hAnsi="Arial"/>
                <w:sz w:val="20"/>
                <w:szCs w:val="20"/>
                <w:color w:val="auto"/>
              </w:rPr>
              <w:t>information contained in Exhibits 101.*).</w:t>
            </w:r>
          </w:p>
        </w:tc>
      </w:tr>
      <w:tr>
        <w:trPr>
          <w:trHeight w:val="327"/>
        </w:trPr>
        <w:tc>
          <w:tcPr>
            <w:tcW w:w="1860" w:type="dxa"/>
            <w:vAlign w:val="bottom"/>
            <w:gridSpan w:val="4"/>
          </w:tcPr>
          <w:p>
            <w:pPr>
              <w:jc w:val="center"/>
              <w:ind w:right="320"/>
              <w:spacing w:after="0"/>
              <w:rPr>
                <w:sz w:val="20"/>
                <w:szCs w:val="20"/>
                <w:color w:val="auto"/>
              </w:rPr>
            </w:pPr>
            <w:r>
              <w:rPr>
                <w:rFonts w:ascii="Arial" w:cs="Arial" w:eastAsia="Arial" w:hAnsi="Arial"/>
                <w:sz w:val="20"/>
                <w:szCs w:val="20"/>
                <w:color w:val="auto"/>
                <w:w w:val="98"/>
              </w:rPr>
              <w:t>______________</w:t>
            </w: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8"/>
        </w:trPr>
        <w:tc>
          <w:tcPr>
            <w:tcW w:w="154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9"/>
              </w:rPr>
              <w:t>* Filed herewith.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57"/>
        </w:trPr>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9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BXP, INC.</w:t>
      </w:r>
    </w:p>
    <w:p>
      <w:pPr>
        <w:spacing w:after="0" w:line="310" w:lineRule="exact"/>
        <w:rPr>
          <w:sz w:val="20"/>
          <w:szCs w:val="20"/>
          <w:color w:val="auto"/>
        </w:rPr>
      </w:pPr>
    </w:p>
    <w:p>
      <w:pPr>
        <w:ind w:left="1380"/>
        <w:spacing w:after="0"/>
        <w:tabs>
          <w:tab w:leader="none" w:pos="1980" w:val="left"/>
          <w:tab w:leader="none" w:pos="2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22225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Michael E. LaBelle</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Executive Vice President, Chief Financial Officer</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BOSTON PROPERTIES LIMITED PARTNERSHIP</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BXP, Inc., its General Partner</w:t>
      </w:r>
    </w:p>
    <w:p>
      <w:pPr>
        <w:spacing w:after="0" w:line="310" w:lineRule="exact"/>
        <w:rPr>
          <w:sz w:val="20"/>
          <w:szCs w:val="20"/>
          <w:color w:val="auto"/>
        </w:rPr>
      </w:pPr>
    </w:p>
    <w:p>
      <w:pPr>
        <w:ind w:left="1380"/>
        <w:spacing w:after="0"/>
        <w:tabs>
          <w:tab w:leader="none" w:pos="1980" w:val="left"/>
          <w:tab w:leader="none" w:pos="2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22225</wp:posOffset>
            </wp:positionV>
            <wp:extent cx="3660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Michael E. LaBelle</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Executive Vice President, Chief Financial Officer</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October 29, 2024</w:t>
      </w:r>
    </w:p>
    <w:p>
      <w:pPr>
        <w:sectPr>
          <w:pgSz w:w="11900" w:h="16838" w:orient="portrait"/>
          <w:cols w:equalWidth="0" w:num="1">
            <w:col w:w="11060"/>
          </w:cols>
          <w:pgMar w:left="320" w:top="1223"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660400</wp:posOffset>
            </wp:positionV>
            <wp:extent cx="4114800" cy="5983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0"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60" w:right="2820" w:hanging="55"/>
        <w:spacing w:after="0" w:line="345" w:lineRule="auto"/>
        <w:rPr>
          <w:sz w:val="20"/>
          <w:szCs w:val="20"/>
          <w:color w:val="auto"/>
        </w:rPr>
      </w:pPr>
      <w:r>
        <w:rPr>
          <w:rFonts w:ascii="Arial" w:cs="Arial" w:eastAsia="Arial" w:hAnsi="Arial"/>
          <w:sz w:val="28"/>
          <w:szCs w:val="28"/>
          <w:color w:val="424242"/>
        </w:rPr>
        <w:t>Supplemental Operating and Financial Data for the Quarter Ended September 30, 2024</w:t>
      </w:r>
    </w:p>
    <w:p>
      <w:pPr>
        <w:sectPr>
          <w:pgSz w:w="11900" w:h="16838" w:orient="portrait"/>
          <w:cols w:equalWidth="0" w:num="1">
            <w:col w:w="10120"/>
          </w:cols>
          <w:pgMar w:left="1440" w:top="101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BXP, Inc. (NYSE: BXP) (formerly known as Boston Properties, Inc.) (“BXP” or the “Company”) is the largest publicly traded developer, owner, and manager of premier workplaces in the United States, concentrated in six dynamic gateway markets - Boston, Los Angeles, New York, San Francisco, Seattle, and Washington, DC. BXP has delivered places that power progress for our clients and communities for more than 50 years. BXP is a fully integrated real estate company, organized as a real estate investment trust (REIT). Including properties owned by joint ventures, BXP’s portfolio totals 53.0 million square feet and 184 properties, including 9 properties under construction/redevelopment. BXP’s properties include 162 office properties, 14 retail properties (including one retail property under construction), seven residential properties (including two residential properties under construction) and one hotel. BXP is well-known for its in-house building management expertise and responsiveness to clients’ needs. BXP holds a superior track record of developing premium Central Business District (CBD) office buildings, successful mixed-use complexes, suburban office centers and build-to-suit projects for a diverse array of creditworthy clients. BXP actively works to promote its growth and operations in a sustainable and responsible manner. BXP has earned a twelfth consecutive GRESB “Green Star” recognition and the highest GRESB 5-star Rating and was named one of the world’s most sustainable companies by TIME Magazine. BXP, an S&amp;P 500 company, was founded in 1970 by Mortimer B. Zuckerman and Edward H. Linde and became a public company in 1997.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Supplemental package contains “forward-looking statements” as defined in the Private Securities Litigation Reform Act of 1995. You can identify these statements by our use of the words “anticipates,” “believes,” “budgeted,” “could,” “estimates,” “expects,” “guidance,” “intends,” “may,” “might,” “plans,” “projects,” “should,” “will,” and similar expressions that do not relate to historical matters. These statements are based on our current plans, expectations, projections and assumptions about future events. You should exercise caution in interpreting and relying on forward-looking statements because they involve known and unknown risks, uncertainties and other factors which are, in some cases, beyond BXP’s control. If our underlying assumptions prove inaccurate, or known or unknown risks or uncertainties materialize, actual results could differ materially from those expressed or implied by the forward-looking statements. These factors include, without limitation, the risks and uncertainties related to the impact of changes in general economic and capital market conditions, including continued inflation, high interest rates, supply chain disruptions, labor market disruptions, dislocation and volatility in capital markets, potential longer-term changes in consumer and client behavior resulting from the severity and duration of any downturn in the U.S. or global economy, general risks affecting the real estate industry (including, without limitation, the inability to enter into or renew leases on favorable terms, changes in client preferences and space utilization, dependence on clients’ financial condition, and competition from other developers, owners and operators of real estate), the impact of geopolitical conflicts, the immediate and long-term impact of the outbreak of a highly infectious or contagious disease on our and our clients’ financial condition, results of operations and cash flows (including the impact of actions taken to contain the outbreak or mitigate its impact, the direct and indirect economic effects of the outbreak and containment measures on our clients, and the ability of our clients to successfully operate their businesses), the uncertainties of investing in new markets, the costs and availability of financing, the effectiveness of our interest rate hedging contracts, the ability of our joint venture partners to satisfy their obligations, the effects of local, national and international economic and market conditions, the effects of acquisitions, dispositions and possible impairment charges on our operating results, the impact of newly adopted accounting principles on the Company’s accounting policies and on period-to-period comparisons of financial results, the uncertainties of costs to comply with regulatory changes (including costs to comply with the Securities and Exchange Commission’s and California’s rules to standardize climate-related disclosures) and other risks and uncertainties detailed from time to time in the Company’s filings with the Securities and Exchange Commission. These forward-looking statements speak only as of the date of issuance of this report and are not guarantees of future results, performance or achievements. BXP does not undertake a duty to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This Supplemental package includes non-GAAP financial measures, which are accompanied by what the Company considers the most directly comparable financial measures calculated and presented in accordance with GAAP. Quantitative reconciliations of the differences between the most directly comparable GAAP financial measures and the non-GAAP financial measures presented are provided within this Supplemental package. Definitions of these non-GAAP financial measures and statements of the reasons why management believes the non-GAAP measures provide useful information to investors about the Company’s financial condition and results of operations, and, if applicable, the other purposes for which management uses the measures, can be found in the Definitions section of this Supplemental starting on page 57.</w:t>
      </w: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 also presents “</w:t>
      </w:r>
      <w:r>
        <w:rPr>
          <w:rFonts w:ascii="Arial" w:cs="Arial" w:eastAsia="Arial" w:hAnsi="Arial"/>
          <w:sz w:val="14"/>
          <w:szCs w:val="14"/>
          <w:b w:val="1"/>
          <w:bCs w:val="1"/>
          <w:color w:val="auto"/>
        </w:rPr>
        <w:t>BXP’s Share</w:t>
      </w:r>
      <w:r>
        <w:rPr>
          <w:rFonts w:ascii="Arial" w:cs="Arial" w:eastAsia="Arial" w:hAnsi="Arial"/>
          <w:sz w:val="14"/>
          <w:szCs w:val="14"/>
          <w:color w:val="auto"/>
        </w:rPr>
        <w:t>” of certain of these measures, which are non-GAAP financial measures that are calculated as the consolidated amount calculated in accordance with GAAP, plus the Company’s share of the amount from the Company’s unconsolidated joint ventures (calculated based upon the Company’s percentage ownership interest and, in some cases, after priority allocations), minus the Company’s partners’ share of the amount from the Company’s consolidated joint ventures (calculated based upon the partners’ percentage ownership interests and, in some cases, after income allocation to private REIT shareholders and their share of fees due to the Company). Management believes that presenting “BXP’s Share” of these measures provides useful information to investors regarding the Company’s financial condition and/or results of operations because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management believes that presenting BXP’s Share of various financial measures in this manner can help investors better understand the Company’s financial condition and/or results of operations after taking into account its true economic interest in these joint ventures. The Company cautions investors that the ownership percentages used in calculating “BXP’s Share” of these measures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routine and major decisions), distributions, transferability of interests, financings and guarantees, liquidations and other matters. As a result, presentations of “BXP’s Share” of a financial measure should not be considered a substitute for, and should only be considered together with and as a supplement to, the Company’s financial information presented in accordance with GAAP. Unless noted otherwise, reconciliations of “BXP’s Share” of these financial measures can be found in the Reconciliations section of this Supplemental package starting on page 61.</w:t>
      </w:r>
    </w:p>
    <w:p>
      <w:pPr>
        <w:sectPr>
          <w:pgSz w:w="11900" w:h="16838" w:orient="portrait"/>
          <w:cols w:equalWidth="0" w:num="1">
            <w:col w:w="11240"/>
          </w:cols>
          <w:pgMar w:left="320" w:top="659"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960" w:type="dxa"/>
            <w:vAlign w:val="bottom"/>
          </w:tcPr>
          <w:p>
            <w:pPr>
              <w:spacing w:after="0"/>
              <w:rPr>
                <w:sz w:val="20"/>
                <w:szCs w:val="20"/>
                <w:color w:val="auto"/>
              </w:rPr>
            </w:pPr>
            <w:r>
              <w:rPr>
                <w:rFonts w:ascii="Arial" w:cs="Arial" w:eastAsia="Arial" w:hAnsi="Arial"/>
                <w:sz w:val="14"/>
                <w:szCs w:val="14"/>
                <w:b w:val="1"/>
                <w:bCs w:val="1"/>
                <w:color w:val="auto"/>
              </w:rPr>
              <w:t>Corporate Headquarters</w:t>
            </w:r>
          </w:p>
        </w:tc>
        <w:tc>
          <w:tcPr>
            <w:tcW w:w="2240" w:type="dxa"/>
            <w:vAlign w:val="bottom"/>
          </w:tcPr>
          <w:p>
            <w:pPr>
              <w:ind w:left="280"/>
              <w:spacing w:after="0"/>
              <w:rPr>
                <w:sz w:val="20"/>
                <w:szCs w:val="20"/>
                <w:color w:val="auto"/>
              </w:rPr>
            </w:pPr>
            <w:r>
              <w:rPr>
                <w:rFonts w:ascii="Arial" w:cs="Arial" w:eastAsia="Arial" w:hAnsi="Arial"/>
                <w:sz w:val="14"/>
                <w:szCs w:val="14"/>
                <w:b w:val="1"/>
                <w:bCs w:val="1"/>
                <w:color w:val="auto"/>
              </w:rPr>
              <w:t>Trading Symbol</w:t>
            </w:r>
          </w:p>
        </w:tc>
        <w:tc>
          <w:tcPr>
            <w:tcW w:w="2640" w:type="dxa"/>
            <w:vAlign w:val="bottom"/>
          </w:tcPr>
          <w:p>
            <w:pPr>
              <w:ind w:left="280"/>
              <w:spacing w:after="0"/>
              <w:rPr>
                <w:sz w:val="20"/>
                <w:szCs w:val="20"/>
                <w:color w:val="auto"/>
              </w:rPr>
            </w:pPr>
            <w:r>
              <w:rPr>
                <w:rFonts w:ascii="Arial" w:cs="Arial" w:eastAsia="Arial" w:hAnsi="Arial"/>
                <w:sz w:val="14"/>
                <w:szCs w:val="14"/>
                <w:b w:val="1"/>
                <w:bCs w:val="1"/>
                <w:color w:val="auto"/>
              </w:rPr>
              <w:t>Investor Relations</w:t>
            </w:r>
          </w:p>
        </w:tc>
        <w:tc>
          <w:tcPr>
            <w:tcW w:w="3420" w:type="dxa"/>
            <w:vAlign w:val="bottom"/>
          </w:tcPr>
          <w:p>
            <w:pPr>
              <w:ind w:left="340"/>
              <w:spacing w:after="0"/>
              <w:rPr>
                <w:sz w:val="20"/>
                <w:szCs w:val="20"/>
                <w:color w:val="auto"/>
              </w:rPr>
            </w:pPr>
            <w:r>
              <w:rPr>
                <w:rFonts w:ascii="Arial" w:cs="Arial" w:eastAsia="Arial" w:hAnsi="Arial"/>
                <w:sz w:val="14"/>
                <w:szCs w:val="14"/>
                <w:b w:val="1"/>
                <w:bCs w:val="1"/>
                <w:color w:val="auto"/>
              </w:rPr>
              <w:t>Inquiries</w:t>
            </w: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800 Boylston Street</w:t>
            </w:r>
          </w:p>
        </w:tc>
        <w:tc>
          <w:tcPr>
            <w:tcW w:w="2240" w:type="dxa"/>
            <w:vAlign w:val="bottom"/>
          </w:tcPr>
          <w:p>
            <w:pPr>
              <w:ind w:left="280"/>
              <w:spacing w:after="0"/>
              <w:rPr>
                <w:sz w:val="20"/>
                <w:szCs w:val="20"/>
                <w:color w:val="auto"/>
              </w:rPr>
            </w:pPr>
            <w:r>
              <w:rPr>
                <w:rFonts w:ascii="Arial" w:cs="Arial" w:eastAsia="Arial" w:hAnsi="Arial"/>
                <w:sz w:val="14"/>
                <w:szCs w:val="14"/>
                <w:color w:val="auto"/>
              </w:rPr>
              <w:t>BXP</w:t>
            </w:r>
          </w:p>
        </w:tc>
        <w:tc>
          <w:tcPr>
            <w:tcW w:w="2640" w:type="dxa"/>
            <w:vAlign w:val="bottom"/>
          </w:tcPr>
          <w:p>
            <w:pPr>
              <w:ind w:left="280"/>
              <w:spacing w:after="0"/>
              <w:rPr>
                <w:sz w:val="20"/>
                <w:szCs w:val="20"/>
                <w:color w:val="auto"/>
              </w:rPr>
            </w:pPr>
            <w:r>
              <w:rPr>
                <w:rFonts w:ascii="Arial" w:cs="Arial" w:eastAsia="Arial" w:hAnsi="Arial"/>
                <w:sz w:val="14"/>
                <w:szCs w:val="14"/>
                <w:color w:val="auto"/>
              </w:rPr>
              <w:t>BXP, Inc.</w:t>
            </w:r>
          </w:p>
        </w:tc>
        <w:tc>
          <w:tcPr>
            <w:tcW w:w="3420" w:type="dxa"/>
            <w:vAlign w:val="bottom"/>
          </w:tcPr>
          <w:p>
            <w:pPr>
              <w:ind w:left="340"/>
              <w:spacing w:after="0"/>
              <w:rPr>
                <w:sz w:val="20"/>
                <w:szCs w:val="20"/>
                <w:color w:val="auto"/>
              </w:rPr>
            </w:pPr>
            <w:r>
              <w:rPr>
                <w:rFonts w:ascii="Arial" w:cs="Arial" w:eastAsia="Arial" w:hAnsi="Arial"/>
                <w:sz w:val="14"/>
                <w:szCs w:val="14"/>
                <w:color w:val="auto"/>
              </w:rPr>
              <w:t>Inquiries should be directed to</w:t>
            </w:r>
          </w:p>
        </w:tc>
      </w:tr>
      <w:tr>
        <w:trPr>
          <w:trHeight w:val="203"/>
        </w:trPr>
        <w:tc>
          <w:tcPr>
            <w:tcW w:w="1960" w:type="dxa"/>
            <w:vAlign w:val="bottom"/>
          </w:tcPr>
          <w:p>
            <w:pPr>
              <w:spacing w:after="0"/>
              <w:rPr>
                <w:sz w:val="20"/>
                <w:szCs w:val="20"/>
                <w:color w:val="auto"/>
              </w:rPr>
            </w:pPr>
            <w:r>
              <w:rPr>
                <w:rFonts w:ascii="Arial" w:cs="Arial" w:eastAsia="Arial" w:hAnsi="Arial"/>
                <w:sz w:val="14"/>
                <w:szCs w:val="14"/>
                <w:color w:val="auto"/>
              </w:rPr>
              <w:t>Suite 1900</w:t>
            </w:r>
          </w:p>
        </w:tc>
        <w:tc>
          <w:tcPr>
            <w:tcW w:w="2240" w:type="dxa"/>
            <w:vAlign w:val="bottom"/>
          </w:tcPr>
          <w:p>
            <w:pPr>
              <w:spacing w:after="0"/>
              <w:rPr>
                <w:sz w:val="17"/>
                <w:szCs w:val="17"/>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800 Boylston Street, Suite 1900</w:t>
            </w:r>
          </w:p>
        </w:tc>
        <w:tc>
          <w:tcPr>
            <w:tcW w:w="3420" w:type="dxa"/>
            <w:vAlign w:val="bottom"/>
          </w:tcPr>
          <w:p>
            <w:pPr>
              <w:ind w:left="340"/>
              <w:spacing w:after="0"/>
              <w:rPr>
                <w:sz w:val="20"/>
                <w:szCs w:val="20"/>
                <w:color w:val="auto"/>
              </w:rPr>
            </w:pPr>
            <w:r>
              <w:rPr>
                <w:rFonts w:ascii="Arial" w:cs="Arial" w:eastAsia="Arial" w:hAnsi="Arial"/>
                <w:sz w:val="14"/>
                <w:szCs w:val="14"/>
                <w:color w:val="auto"/>
              </w:rPr>
              <w:t>Helen Han</w:t>
            </w:r>
          </w:p>
        </w:tc>
      </w:tr>
      <w:tr>
        <w:trPr>
          <w:trHeight w:val="208"/>
        </w:trPr>
        <w:tc>
          <w:tcPr>
            <w:tcW w:w="1960" w:type="dxa"/>
            <w:vAlign w:val="bottom"/>
          </w:tcPr>
          <w:p>
            <w:pPr>
              <w:spacing w:after="0"/>
              <w:rPr>
                <w:sz w:val="20"/>
                <w:szCs w:val="20"/>
                <w:color w:val="auto"/>
              </w:rPr>
            </w:pPr>
            <w:r>
              <w:rPr>
                <w:rFonts w:ascii="Arial" w:cs="Arial" w:eastAsia="Arial" w:hAnsi="Arial"/>
                <w:sz w:val="14"/>
                <w:szCs w:val="14"/>
                <w:color w:val="auto"/>
              </w:rPr>
              <w:t>Boston, MA 02199</w:t>
            </w:r>
          </w:p>
        </w:tc>
        <w:tc>
          <w:tcPr>
            <w:tcW w:w="2240" w:type="dxa"/>
            <w:vAlign w:val="bottom"/>
          </w:tcPr>
          <w:p>
            <w:pPr>
              <w:ind w:left="280"/>
              <w:spacing w:after="0"/>
              <w:rPr>
                <w:sz w:val="20"/>
                <w:szCs w:val="20"/>
                <w:color w:val="auto"/>
              </w:rPr>
            </w:pPr>
            <w:r>
              <w:rPr>
                <w:rFonts w:ascii="Arial" w:cs="Arial" w:eastAsia="Arial" w:hAnsi="Arial"/>
                <w:sz w:val="14"/>
                <w:szCs w:val="14"/>
                <w:b w:val="1"/>
                <w:bCs w:val="1"/>
                <w:color w:val="auto"/>
              </w:rPr>
              <w:t>Stock Exchange Listing</w:t>
            </w:r>
          </w:p>
        </w:tc>
        <w:tc>
          <w:tcPr>
            <w:tcW w:w="2640" w:type="dxa"/>
            <w:vAlign w:val="bottom"/>
          </w:tcPr>
          <w:p>
            <w:pPr>
              <w:ind w:left="280"/>
              <w:spacing w:after="0"/>
              <w:rPr>
                <w:sz w:val="20"/>
                <w:szCs w:val="20"/>
                <w:color w:val="auto"/>
              </w:rPr>
            </w:pPr>
            <w:r>
              <w:rPr>
                <w:rFonts w:ascii="Arial" w:cs="Arial" w:eastAsia="Arial" w:hAnsi="Arial"/>
                <w:sz w:val="14"/>
                <w:szCs w:val="14"/>
                <w:color w:val="auto"/>
              </w:rPr>
              <w:t>Boston, MA 02199</w:t>
            </w:r>
          </w:p>
        </w:tc>
        <w:tc>
          <w:tcPr>
            <w:tcW w:w="3420" w:type="dxa"/>
            <w:vAlign w:val="bottom"/>
          </w:tcPr>
          <w:p>
            <w:pPr>
              <w:ind w:left="340"/>
              <w:spacing w:after="0"/>
              <w:rPr>
                <w:sz w:val="20"/>
                <w:szCs w:val="20"/>
                <w:color w:val="auto"/>
              </w:rPr>
            </w:pPr>
            <w:r>
              <w:rPr>
                <w:rFonts w:ascii="Arial" w:cs="Arial" w:eastAsia="Arial" w:hAnsi="Arial"/>
                <w:sz w:val="14"/>
                <w:szCs w:val="14"/>
                <w:color w:val="auto"/>
              </w:rPr>
              <w:t>Vice President, Investor Relations</w:t>
            </w: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www.bxp.com</w:t>
            </w:r>
          </w:p>
        </w:tc>
        <w:tc>
          <w:tcPr>
            <w:tcW w:w="2240" w:type="dxa"/>
            <w:vAlign w:val="bottom"/>
          </w:tcPr>
          <w:p>
            <w:pPr>
              <w:ind w:left="280"/>
              <w:spacing w:after="0"/>
              <w:rPr>
                <w:sz w:val="20"/>
                <w:szCs w:val="20"/>
                <w:color w:val="auto"/>
              </w:rPr>
            </w:pPr>
            <w:r>
              <w:rPr>
                <w:rFonts w:ascii="Arial" w:cs="Arial" w:eastAsia="Arial" w:hAnsi="Arial"/>
                <w:sz w:val="14"/>
                <w:szCs w:val="14"/>
                <w:color w:val="auto"/>
              </w:rPr>
              <w:t>New York Stock Exchange</w:t>
            </w:r>
          </w:p>
        </w:tc>
        <w:tc>
          <w:tcPr>
            <w:tcW w:w="2640" w:type="dxa"/>
            <w:vAlign w:val="bottom"/>
          </w:tcPr>
          <w:p>
            <w:pPr>
              <w:ind w:left="280"/>
              <w:spacing w:after="0"/>
              <w:rPr>
                <w:sz w:val="20"/>
                <w:szCs w:val="20"/>
                <w:color w:val="auto"/>
              </w:rPr>
            </w:pPr>
            <w:r>
              <w:rPr>
                <w:rFonts w:ascii="Arial" w:cs="Arial" w:eastAsia="Arial" w:hAnsi="Arial"/>
                <w:sz w:val="14"/>
                <w:szCs w:val="14"/>
                <w:color w:val="auto"/>
              </w:rPr>
              <w:t>investors.bxp.com</w:t>
            </w:r>
          </w:p>
        </w:tc>
        <w:tc>
          <w:tcPr>
            <w:tcW w:w="3420" w:type="dxa"/>
            <w:vAlign w:val="bottom"/>
          </w:tcPr>
          <w:p>
            <w:pPr>
              <w:ind w:left="340"/>
              <w:spacing w:after="0"/>
              <w:rPr>
                <w:sz w:val="20"/>
                <w:szCs w:val="20"/>
                <w:color w:val="auto"/>
              </w:rPr>
            </w:pPr>
            <w:r>
              <w:rPr>
                <w:rFonts w:ascii="Arial" w:cs="Arial" w:eastAsia="Arial" w:hAnsi="Arial"/>
                <w:sz w:val="14"/>
                <w:szCs w:val="14"/>
                <w:color w:val="auto"/>
              </w:rPr>
              <w:t>at 617.236.3429 or</w:t>
            </w:r>
          </w:p>
        </w:tc>
      </w:tr>
      <w:tr>
        <w:trPr>
          <w:trHeight w:val="203"/>
        </w:trPr>
        <w:tc>
          <w:tcPr>
            <w:tcW w:w="1960" w:type="dxa"/>
            <w:vAlign w:val="bottom"/>
          </w:tcPr>
          <w:p>
            <w:pPr>
              <w:spacing w:after="0"/>
              <w:rPr>
                <w:sz w:val="20"/>
                <w:szCs w:val="20"/>
                <w:color w:val="auto"/>
              </w:rPr>
            </w:pPr>
            <w:r>
              <w:rPr>
                <w:rFonts w:ascii="Arial" w:cs="Arial" w:eastAsia="Arial" w:hAnsi="Arial"/>
                <w:sz w:val="14"/>
                <w:szCs w:val="14"/>
                <w:color w:val="auto"/>
              </w:rPr>
              <w:t>(t) 617.236.3300</w:t>
            </w:r>
          </w:p>
        </w:tc>
        <w:tc>
          <w:tcPr>
            <w:tcW w:w="2240" w:type="dxa"/>
            <w:vAlign w:val="bottom"/>
          </w:tcPr>
          <w:p>
            <w:pPr>
              <w:spacing w:after="0"/>
              <w:rPr>
                <w:sz w:val="17"/>
                <w:szCs w:val="17"/>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investorrelations@bxp.com</w:t>
            </w:r>
          </w:p>
        </w:tc>
        <w:tc>
          <w:tcPr>
            <w:tcW w:w="3420" w:type="dxa"/>
            <w:vAlign w:val="bottom"/>
          </w:tcPr>
          <w:p>
            <w:pPr>
              <w:ind w:left="340"/>
              <w:spacing w:after="0"/>
              <w:rPr>
                <w:sz w:val="20"/>
                <w:szCs w:val="20"/>
                <w:color w:val="auto"/>
              </w:rPr>
            </w:pPr>
            <w:r>
              <w:rPr>
                <w:rFonts w:ascii="Arial" w:cs="Arial" w:eastAsia="Arial" w:hAnsi="Arial"/>
                <w:sz w:val="14"/>
                <w:szCs w:val="14"/>
                <w:color w:val="auto"/>
              </w:rPr>
              <w:t>hhan@bxp.com</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(t) 617.236.3429</w:t>
            </w:r>
          </w:p>
        </w:tc>
        <w:tc>
          <w:tcPr>
            <w:tcW w:w="34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Michael E. LaBelle</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Executive Vice President, Chief Financial Officer</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at 617.236.3352 or</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mlabelle@bxp.com</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(Cover photo: Rendering of the residential building, Skymark, in Reston, VA)</w:t>
      </w:r>
    </w:p>
    <w:p>
      <w:pPr>
        <w:sectPr>
          <w:pgSz w:w="11900" w:h="16838" w:orient="portrait"/>
          <w:cols w:equalWidth="0" w:num="1">
            <w:col w:w="10280"/>
          </w:cols>
          <w:pgMar w:left="320" w:top="551" w:right="1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20"/>
              <w:spacing w:after="0"/>
              <w:rPr>
                <w:sz w:val="20"/>
                <w:szCs w:val="20"/>
                <w:color w:val="auto"/>
              </w:rPr>
            </w:pPr>
            <w:r>
              <w:rPr>
                <w:rFonts w:ascii="Arial" w:cs="Arial" w:eastAsia="Arial" w:hAnsi="Arial"/>
                <w:sz w:val="14"/>
                <w:szCs w:val="14"/>
                <w:color w:val="auto"/>
              </w:rPr>
              <w:t>Q3 2024</w:t>
            </w:r>
          </w:p>
        </w:tc>
      </w:tr>
      <w:tr>
        <w:trPr>
          <w:trHeight w:val="231"/>
        </w:trPr>
        <w:tc>
          <w:tcPr>
            <w:tcW w:w="77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006EBF"/>
              </w:rPr>
              <w:t>Table of contents</w:t>
            </w:r>
          </w:p>
        </w:tc>
      </w:tr>
      <w:tr>
        <w:trPr>
          <w:trHeight w:val="303"/>
        </w:trPr>
        <w:tc>
          <w:tcPr>
            <w:tcW w:w="7740" w:type="dxa"/>
            <w:vAlign w:val="bottom"/>
          </w:tcPr>
          <w:p>
            <w:pPr>
              <w:spacing w:after="0"/>
              <w:rPr>
                <w:sz w:val="24"/>
                <w:szCs w:val="24"/>
                <w:color w:val="auto"/>
              </w:rPr>
            </w:pPr>
          </w:p>
        </w:tc>
        <w:tc>
          <w:tcPr>
            <w:tcW w:w="3500" w:type="dxa"/>
            <w:vAlign w:val="bottom"/>
            <w:gridSpan w:val="5"/>
          </w:tcPr>
          <w:p>
            <w:pPr>
              <w:jc w:val="right"/>
              <w:ind w:right="20"/>
              <w:spacing w:after="0"/>
              <w:rPr>
                <w:sz w:val="20"/>
                <w:szCs w:val="20"/>
                <w:color w:val="auto"/>
              </w:rPr>
            </w:pPr>
            <w:r>
              <w:rPr>
                <w:rFonts w:ascii="Arial" w:cs="Arial" w:eastAsia="Arial" w:hAnsi="Arial"/>
                <w:sz w:val="14"/>
                <w:szCs w:val="14"/>
                <w:color w:val="auto"/>
              </w:rPr>
              <w:t>Page</w:t>
            </w:r>
          </w:p>
        </w:tc>
      </w:tr>
      <w:tr>
        <w:trPr>
          <w:trHeight w:val="242"/>
        </w:trPr>
        <w:tc>
          <w:tcPr>
            <w:tcW w:w="7740" w:type="dxa"/>
            <w:vAlign w:val="bottom"/>
          </w:tcPr>
          <w:p>
            <w:pPr>
              <w:ind w:left="20"/>
              <w:spacing w:after="0"/>
              <w:rPr>
                <w:sz w:val="20"/>
                <w:szCs w:val="20"/>
                <w:color w:val="auto"/>
              </w:rPr>
            </w:pPr>
            <w:r>
              <w:rPr>
                <w:rFonts w:ascii="Arial" w:cs="Arial" w:eastAsia="Arial" w:hAnsi="Arial"/>
                <w:sz w:val="18"/>
                <w:szCs w:val="18"/>
                <w:color w:val="006EBF"/>
              </w:rPr>
              <w:t>OVERVIEW</w:t>
            </w:r>
          </w:p>
        </w:tc>
        <w:tc>
          <w:tcPr>
            <w:tcW w:w="3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Company Profile</w:t>
            </w:r>
          </w:p>
        </w:tc>
        <w:tc>
          <w:tcPr>
            <w:tcW w:w="3400" w:type="dxa"/>
            <w:vAlign w:val="bottom"/>
            <w:gridSpan w:val="3"/>
          </w:tcPr>
          <w:p>
            <w:pPr>
              <w:spacing w:after="0"/>
              <w:rPr>
                <w:sz w:val="13"/>
                <w:szCs w:val="13"/>
                <w:color w:val="auto"/>
              </w:rPr>
            </w:pPr>
          </w:p>
        </w:tc>
        <w:tc>
          <w:tcPr>
            <w:tcW w:w="80" w:type="dxa"/>
            <w:vAlign w:val="bottom"/>
            <w:tcBorders>
              <w:bottom w:val="single" w:sz="8" w:color="0000FF"/>
            </w:tcBorders>
          </w:tcPr>
          <w:p>
            <w:pPr>
              <w:jc w:val="right"/>
              <w:spacing w:after="0" w:line="158" w:lineRule="exact"/>
              <w:rPr>
                <w:sz w:val="20"/>
                <w:szCs w:val="20"/>
                <w:color w:val="auto"/>
              </w:rPr>
            </w:pPr>
            <w:r>
              <w:rPr>
                <w:rFonts w:ascii="Arial" w:cs="Arial" w:eastAsia="Arial" w:hAnsi="Arial"/>
                <w:sz w:val="14"/>
                <w:szCs w:val="14"/>
                <w:color w:val="0000FF"/>
                <w:w w:val="76"/>
              </w:rPr>
              <w:t>1</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Guidance and assumptions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FINANCIAL INFORMATION</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Financial Highlights</w:t>
            </w:r>
          </w:p>
        </w:tc>
        <w:tc>
          <w:tcPr>
            <w:tcW w:w="3400" w:type="dxa"/>
            <w:vAlign w:val="bottom"/>
            <w:gridSpan w:val="3"/>
          </w:tcPr>
          <w:p>
            <w:pPr>
              <w:spacing w:after="0"/>
              <w:rPr>
                <w:sz w:val="13"/>
                <w:szCs w:val="13"/>
                <w:color w:val="auto"/>
              </w:rPr>
            </w:pPr>
          </w:p>
        </w:tc>
        <w:tc>
          <w:tcPr>
            <w:tcW w:w="80" w:type="dxa"/>
            <w:vAlign w:val="bottom"/>
            <w:tcBorders>
              <w:bottom w:val="single" w:sz="8" w:color="0000FF"/>
            </w:tcBorders>
          </w:tcPr>
          <w:p>
            <w:pPr>
              <w:jc w:val="right"/>
              <w:spacing w:after="0" w:line="158" w:lineRule="exact"/>
              <w:rPr>
                <w:sz w:val="20"/>
                <w:szCs w:val="20"/>
                <w:color w:val="auto"/>
              </w:rPr>
            </w:pPr>
            <w:r>
              <w:rPr>
                <w:rFonts w:ascii="Arial" w:cs="Arial" w:eastAsia="Arial" w:hAnsi="Arial"/>
                <w:sz w:val="14"/>
                <w:szCs w:val="14"/>
                <w:color w:val="0000FF"/>
                <w:w w:val="76"/>
              </w:rPr>
              <w:t>3</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Balance Sheets</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Income Statements</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Funds From Operations (FFO)</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7</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Funds Available for Distribution (FAD)</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Same Property Net Operating Income (NOI) by Reportable Segment</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11</w:t>
            </w:r>
          </w:p>
        </w:tc>
        <w:tc>
          <w:tcPr>
            <w:tcW w:w="2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Capital Expenditures, Tenant Improvement Costs and Leasing Commissions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13</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Acquisitions and Dispositions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14</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DEVELOPMENT ACTIVITY</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Construction in Progress</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15</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Land Parcels and Purchase Options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17</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LEASING ACTIVITY</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Leasing Activity</w:t>
            </w:r>
          </w:p>
        </w:tc>
        <w:tc>
          <w:tcPr>
            <w:tcW w:w="3480" w:type="dxa"/>
            <w:vAlign w:val="bottom"/>
            <w:gridSpan w:val="4"/>
          </w:tcPr>
          <w:p>
            <w:pPr>
              <w:jc w:val="right"/>
              <w:spacing w:after="0" w:line="158" w:lineRule="exact"/>
              <w:rPr>
                <w:sz w:val="20"/>
                <w:szCs w:val="20"/>
                <w:color w:val="auto"/>
              </w:rPr>
            </w:pPr>
            <w:r>
              <w:rPr>
                <w:rFonts w:ascii="Arial" w:cs="Arial" w:eastAsia="Arial" w:hAnsi="Arial"/>
                <w:sz w:val="14"/>
                <w:szCs w:val="14"/>
                <w:color w:val="0000FF"/>
              </w:rPr>
              <w:t>18</w:t>
            </w:r>
          </w:p>
        </w:tc>
        <w:tc>
          <w:tcPr>
            <w:tcW w:w="20" w:type="dxa"/>
            <w:vAlign w:val="bottom"/>
          </w:tcPr>
          <w:p>
            <w:pPr>
              <w:spacing w:after="0"/>
              <w:rPr>
                <w:sz w:val="13"/>
                <w:szCs w:val="13"/>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PROPERTY STATISTICS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Portfolio Overview</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19</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Residential and Hotel Performance</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20</w:t>
            </w:r>
          </w:p>
        </w:tc>
        <w:tc>
          <w:tcPr>
            <w:tcW w:w="20" w:type="dxa"/>
            <w:vAlign w:val="bottom"/>
          </w:tcPr>
          <w:p>
            <w:pPr>
              <w:spacing w:after="0"/>
              <w:rPr>
                <w:sz w:val="15"/>
                <w:szCs w:val="15"/>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In-Service Property Listing</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22</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Top 20 Clients Listing and Portfolio Client Diversification</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26</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Occupancy by Location</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27</w:t>
            </w:r>
          </w:p>
        </w:tc>
        <w:tc>
          <w:tcPr>
            <w:tcW w:w="20" w:type="dxa"/>
            <w:vAlign w:val="bottom"/>
          </w:tcPr>
          <w:p>
            <w:pPr>
              <w:spacing w:after="0"/>
              <w:rPr>
                <w:sz w:val="15"/>
                <w:szCs w:val="15"/>
                <w:color w:val="auto"/>
              </w:rPr>
            </w:pPr>
          </w:p>
        </w:tc>
      </w:tr>
      <w:tr>
        <w:trPr>
          <w:trHeight w:val="456"/>
        </w:trPr>
        <w:tc>
          <w:tcPr>
            <w:tcW w:w="7740" w:type="dxa"/>
            <w:vAlign w:val="bottom"/>
          </w:tcPr>
          <w:p>
            <w:pPr>
              <w:ind w:left="20"/>
              <w:spacing w:after="0"/>
              <w:rPr>
                <w:sz w:val="20"/>
                <w:szCs w:val="20"/>
                <w:color w:val="auto"/>
              </w:rPr>
            </w:pPr>
            <w:r>
              <w:rPr>
                <w:rFonts w:ascii="Arial" w:cs="Arial" w:eastAsia="Arial" w:hAnsi="Arial"/>
                <w:sz w:val="18"/>
                <w:szCs w:val="18"/>
                <w:color w:val="006EBF"/>
              </w:rPr>
              <w:t>DEBT AND CAPITALIZATION</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Capital Structure</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28</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Debt Analysis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30</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Senior Unsecured Debt Covenant Compliance Ratios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31</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Net Debt to EBITDA</w:t>
            </w:r>
            <w:r>
              <w:rPr>
                <w:rFonts w:ascii="Arial" w:cs="Arial" w:eastAsia="Arial" w:hAnsi="Arial"/>
                <w:sz w:val="14"/>
                <w:szCs w:val="14"/>
                <w:i w:val="1"/>
                <w:iCs w:val="1"/>
                <w:color w:val="auto"/>
              </w:rPr>
              <w:t>re</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32</w:t>
            </w:r>
          </w:p>
        </w:tc>
        <w:tc>
          <w:tcPr>
            <w:tcW w:w="20" w:type="dxa"/>
            <w:vAlign w:val="bottom"/>
          </w:tcPr>
          <w:p>
            <w:pPr>
              <w:spacing w:after="0"/>
              <w:rPr>
                <w:sz w:val="15"/>
                <w:szCs w:val="15"/>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Debt Ratios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33</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JOINT VENTURES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Consolidated Joint Ventures</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34</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Unconsolidated Joint Ventures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36</w:t>
            </w:r>
          </w:p>
        </w:tc>
        <w:tc>
          <w:tcPr>
            <w:tcW w:w="20" w:type="dxa"/>
            <w:vAlign w:val="bottom"/>
          </w:tcPr>
          <w:p>
            <w:pPr>
              <w:spacing w:after="0"/>
              <w:rPr>
                <w:sz w:val="15"/>
                <w:szCs w:val="15"/>
                <w:color w:val="auto"/>
              </w:rPr>
            </w:pPr>
          </w:p>
        </w:tc>
      </w:tr>
      <w:tr>
        <w:trPr>
          <w:trHeight w:val="456"/>
        </w:trPr>
        <w:tc>
          <w:tcPr>
            <w:tcW w:w="7740" w:type="dxa"/>
            <w:vAlign w:val="bottom"/>
          </w:tcPr>
          <w:p>
            <w:pPr>
              <w:ind w:left="20"/>
              <w:spacing w:after="0"/>
              <w:rPr>
                <w:sz w:val="20"/>
                <w:szCs w:val="20"/>
                <w:color w:val="auto"/>
              </w:rPr>
            </w:pPr>
            <w:r>
              <w:rPr>
                <w:rFonts w:ascii="Arial" w:cs="Arial" w:eastAsia="Arial" w:hAnsi="Arial"/>
                <w:sz w:val="18"/>
                <w:szCs w:val="18"/>
                <w:color w:val="006EBF"/>
              </w:rPr>
              <w:t>LEASE EXPIRATION ROLL-OUT</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Total In-Service Properties</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39</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Boston</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40</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42</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New York</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44</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46</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Seattle</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48</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50</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CBD</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52</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Suburban</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5"/>
                <w:szCs w:val="15"/>
                <w:color w:val="auto"/>
              </w:rPr>
            </w:pPr>
          </w:p>
        </w:tc>
      </w:tr>
      <w:tr>
        <w:trPr>
          <w:trHeight w:val="456"/>
        </w:trPr>
        <w:tc>
          <w:tcPr>
            <w:tcW w:w="7740" w:type="dxa"/>
            <w:vAlign w:val="bottom"/>
          </w:tcPr>
          <w:p>
            <w:pPr>
              <w:ind w:left="20"/>
              <w:spacing w:after="0"/>
              <w:rPr>
                <w:sz w:val="20"/>
                <w:szCs w:val="20"/>
                <w:color w:val="auto"/>
              </w:rPr>
            </w:pPr>
            <w:r>
              <w:rPr>
                <w:rFonts w:ascii="Arial" w:cs="Arial" w:eastAsia="Arial" w:hAnsi="Arial"/>
                <w:sz w:val="18"/>
                <w:szCs w:val="18"/>
                <w:color w:val="006EBF"/>
              </w:rPr>
              <w:t>RESEARCH COVERAGE, DEFINITIONS AND RECONCILIATIONS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Research Coverage</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56</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Definitions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57</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Reconciliations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61</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Income Statement - Prior Year</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69</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-7792085</wp:posOffset>
            </wp:positionV>
            <wp:extent cx="2571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20"/>
                <w:szCs w:val="20"/>
                <w:color w:val="auto"/>
              </w:rPr>
            </w:pPr>
            <w:r>
              <w:rPr>
                <w:rFonts w:ascii="Arial" w:cs="Arial" w:eastAsia="Arial" w:hAnsi="Arial"/>
                <w:sz w:val="14"/>
                <w:szCs w:val="14"/>
                <w:color w:val="auto"/>
              </w:rPr>
              <w:t>(as of September 30, 2024)</w:t>
            </w:r>
          </w:p>
        </w:tc>
        <w:tc>
          <w:tcPr>
            <w:tcW w:w="1980" w:type="dxa"/>
            <w:vAlign w:val="bottom"/>
          </w:tcPr>
          <w:p>
            <w:pPr>
              <w:spacing w:after="0"/>
              <w:rPr>
                <w:sz w:val="16"/>
                <w:szCs w:val="16"/>
                <w:color w:val="auto"/>
              </w:rPr>
            </w:pPr>
          </w:p>
        </w:tc>
      </w:tr>
      <w:tr>
        <w:trPr>
          <w:trHeight w:val="311"/>
        </w:trPr>
        <w:tc>
          <w:tcPr>
            <w:tcW w:w="8280" w:type="dxa"/>
            <w:vAlign w:val="bottom"/>
          </w:tcPr>
          <w:p>
            <w:pPr>
              <w:ind w:left="20"/>
              <w:spacing w:after="0"/>
              <w:rPr>
                <w:sz w:val="20"/>
                <w:szCs w:val="20"/>
                <w:color w:val="auto"/>
              </w:rPr>
            </w:pPr>
            <w:r>
              <w:rPr>
                <w:rFonts w:ascii="Arial" w:cs="Arial" w:eastAsia="Arial" w:hAnsi="Arial"/>
                <w:sz w:val="14"/>
                <w:szCs w:val="14"/>
                <w:color w:val="auto"/>
              </w:rPr>
              <w:t>Fiscal Year-End</w:t>
            </w:r>
          </w:p>
        </w:tc>
        <w:tc>
          <w:tcPr>
            <w:tcW w:w="1980" w:type="dxa"/>
            <w:vAlign w:val="bottom"/>
          </w:tcPr>
          <w:p>
            <w:pPr>
              <w:ind w:left="180"/>
              <w:spacing w:after="0"/>
              <w:rPr>
                <w:sz w:val="20"/>
                <w:szCs w:val="20"/>
                <w:color w:val="auto"/>
              </w:rPr>
            </w:pPr>
            <w:r>
              <w:rPr>
                <w:rFonts w:ascii="Arial" w:cs="Arial" w:eastAsia="Arial" w:hAnsi="Arial"/>
                <w:sz w:val="14"/>
                <w:szCs w:val="14"/>
                <w:color w:val="auto"/>
              </w:rPr>
              <w:t>December 31</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Total Properties (includes unconsolidated joint ventures and properties under development/redevelopment)</w:t>
            </w:r>
          </w:p>
        </w:tc>
        <w:tc>
          <w:tcPr>
            <w:tcW w:w="1980" w:type="dxa"/>
            <w:vAlign w:val="bottom"/>
          </w:tcPr>
          <w:p>
            <w:pPr>
              <w:ind w:left="180"/>
              <w:spacing w:after="0"/>
              <w:rPr>
                <w:sz w:val="20"/>
                <w:szCs w:val="20"/>
                <w:color w:val="auto"/>
              </w:rPr>
            </w:pPr>
            <w:r>
              <w:rPr>
                <w:rFonts w:ascii="Arial" w:cs="Arial" w:eastAsia="Arial" w:hAnsi="Arial"/>
                <w:sz w:val="14"/>
                <w:szCs w:val="14"/>
                <w:color w:val="auto"/>
              </w:rPr>
              <w:t>184</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Total Square Feet (includes unconsolidated joint ventures and properties under development/redevelopment)</w:t>
            </w:r>
          </w:p>
        </w:tc>
        <w:tc>
          <w:tcPr>
            <w:tcW w:w="1980" w:type="dxa"/>
            <w:vAlign w:val="bottom"/>
          </w:tcPr>
          <w:p>
            <w:pPr>
              <w:ind w:left="180"/>
              <w:spacing w:after="0"/>
              <w:rPr>
                <w:sz w:val="20"/>
                <w:szCs w:val="20"/>
                <w:color w:val="auto"/>
              </w:rPr>
            </w:pPr>
            <w:r>
              <w:rPr>
                <w:rFonts w:ascii="Arial" w:cs="Arial" w:eastAsia="Arial" w:hAnsi="Arial"/>
                <w:sz w:val="14"/>
                <w:szCs w:val="14"/>
                <w:color w:val="auto"/>
              </w:rPr>
              <w:t>53.0 million</w:t>
            </w:r>
          </w:p>
        </w:tc>
      </w:tr>
      <w:tr>
        <w:trPr>
          <w:trHeight w:val="185"/>
        </w:trPr>
        <w:tc>
          <w:tcPr>
            <w:tcW w:w="8280" w:type="dxa"/>
            <w:vAlign w:val="bottom"/>
          </w:tcPr>
          <w:p>
            <w:pPr>
              <w:ind w:left="20"/>
              <w:spacing w:after="0"/>
              <w:rPr>
                <w:sz w:val="20"/>
                <w:szCs w:val="20"/>
                <w:color w:val="auto"/>
              </w:rPr>
            </w:pPr>
            <w:r>
              <w:rPr>
                <w:rFonts w:ascii="Arial" w:cs="Arial" w:eastAsia="Arial" w:hAnsi="Arial"/>
                <w:sz w:val="14"/>
                <w:szCs w:val="14"/>
                <w:color w:val="auto"/>
              </w:rPr>
              <w:t>Common shares outstanding, plus common units and LTIP units (other than unearned Multi-Year Long-Term Incentive Program</w:t>
            </w:r>
          </w:p>
        </w:tc>
        <w:tc>
          <w:tcPr>
            <w:tcW w:w="1980" w:type="dxa"/>
            <w:vAlign w:val="bottom"/>
          </w:tcPr>
          <w:p>
            <w:pPr>
              <w:spacing w:after="0"/>
              <w:rPr>
                <w:sz w:val="16"/>
                <w:szCs w:val="16"/>
                <w:color w:val="auto"/>
              </w:rPr>
            </w:pPr>
          </w:p>
        </w:tc>
      </w:tr>
      <w:tr>
        <w:trPr>
          <w:trHeight w:val="218"/>
        </w:trPr>
        <w:tc>
          <w:tcPr>
            <w:tcW w:w="8280" w:type="dxa"/>
            <w:vAlign w:val="bottom"/>
          </w:tcPr>
          <w:p>
            <w:pPr>
              <w:ind w:left="180"/>
              <w:spacing w:after="0"/>
              <w:rPr>
                <w:sz w:val="20"/>
                <w:szCs w:val="20"/>
                <w:color w:val="auto"/>
              </w:rPr>
            </w:pPr>
            <w:r>
              <w:rPr>
                <w:rFonts w:ascii="Arial" w:cs="Arial" w:eastAsia="Arial" w:hAnsi="Arial"/>
                <w:sz w:val="14"/>
                <w:szCs w:val="14"/>
                <w:color w:val="auto"/>
              </w:rPr>
              <w:t xml:space="preserve">(MYLTIP) Units) on an as-converted basis </w:t>
            </w:r>
            <w:r>
              <w:rPr>
                <w:rFonts w:ascii="Arial" w:cs="Arial" w:eastAsia="Arial" w:hAnsi="Arial"/>
                <w:sz w:val="18"/>
                <w:szCs w:val="18"/>
                <w:color w:val="auto"/>
                <w:vertAlign w:val="superscript"/>
              </w:rPr>
              <w:t>1, 2</w:t>
            </w:r>
          </w:p>
        </w:tc>
        <w:tc>
          <w:tcPr>
            <w:tcW w:w="1980" w:type="dxa"/>
            <w:vAlign w:val="bottom"/>
          </w:tcPr>
          <w:p>
            <w:pPr>
              <w:ind w:left="180"/>
              <w:spacing w:after="0"/>
              <w:rPr>
                <w:sz w:val="20"/>
                <w:szCs w:val="20"/>
                <w:color w:val="auto"/>
              </w:rPr>
            </w:pPr>
            <w:r>
              <w:rPr>
                <w:rFonts w:ascii="Arial" w:cs="Arial" w:eastAsia="Arial" w:hAnsi="Arial"/>
                <w:sz w:val="14"/>
                <w:szCs w:val="14"/>
                <w:color w:val="auto"/>
              </w:rPr>
              <w:t>176.2 million</w:t>
            </w: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Closing Price, at the end of the quarter</w:t>
            </w:r>
          </w:p>
        </w:tc>
        <w:tc>
          <w:tcPr>
            <w:tcW w:w="1980" w:type="dxa"/>
            <w:vAlign w:val="bottom"/>
          </w:tcPr>
          <w:p>
            <w:pPr>
              <w:ind w:left="180"/>
              <w:spacing w:after="0"/>
              <w:rPr>
                <w:sz w:val="20"/>
                <w:szCs w:val="20"/>
                <w:color w:val="auto"/>
              </w:rPr>
            </w:pPr>
            <w:r>
              <w:rPr>
                <w:rFonts w:ascii="Arial" w:cs="Arial" w:eastAsia="Arial" w:hAnsi="Arial"/>
                <w:sz w:val="14"/>
                <w:szCs w:val="14"/>
                <w:color w:val="auto"/>
              </w:rPr>
              <w:t>$80.46 per share</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Dividend - Quarter/Annualized</w:t>
            </w:r>
          </w:p>
        </w:tc>
        <w:tc>
          <w:tcPr>
            <w:tcW w:w="1980" w:type="dxa"/>
            <w:vAlign w:val="bottom"/>
          </w:tcPr>
          <w:p>
            <w:pPr>
              <w:ind w:left="180"/>
              <w:spacing w:after="0"/>
              <w:rPr>
                <w:sz w:val="20"/>
                <w:szCs w:val="20"/>
                <w:color w:val="auto"/>
              </w:rPr>
            </w:pPr>
            <w:r>
              <w:rPr>
                <w:rFonts w:ascii="Arial" w:cs="Arial" w:eastAsia="Arial" w:hAnsi="Arial"/>
                <w:sz w:val="14"/>
                <w:szCs w:val="14"/>
                <w:color w:val="auto"/>
              </w:rPr>
              <w:t>$0.98/$3.92 per share</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980" w:type="dxa"/>
            <w:vAlign w:val="bottom"/>
          </w:tcPr>
          <w:p>
            <w:pPr>
              <w:ind w:left="180"/>
              <w:spacing w:after="0"/>
              <w:rPr>
                <w:sz w:val="20"/>
                <w:szCs w:val="20"/>
                <w:color w:val="auto"/>
              </w:rPr>
            </w:pPr>
            <w:r>
              <w:rPr>
                <w:rFonts w:ascii="Arial" w:cs="Arial" w:eastAsia="Arial" w:hAnsi="Arial"/>
                <w:sz w:val="14"/>
                <w:szCs w:val="14"/>
                <w:color w:val="auto"/>
              </w:rPr>
              <w:t>4.9%</w:t>
            </w:r>
          </w:p>
        </w:tc>
      </w:tr>
      <w:tr>
        <w:trPr>
          <w:trHeight w:val="212"/>
        </w:trPr>
        <w:tc>
          <w:tcPr>
            <w:tcW w:w="8280" w:type="dxa"/>
            <w:vAlign w:val="bottom"/>
          </w:tcPr>
          <w:p>
            <w:pPr>
              <w:ind w:left="20"/>
              <w:spacing w:after="0"/>
              <w:rPr>
                <w:sz w:val="20"/>
                <w:szCs w:val="20"/>
                <w:color w:val="auto"/>
              </w:rPr>
            </w:pPr>
            <w:r>
              <w:rPr>
                <w:rFonts w:ascii="Arial" w:cs="Arial" w:eastAsia="Arial" w:hAnsi="Arial"/>
                <w:sz w:val="14"/>
                <w:szCs w:val="14"/>
                <w:color w:val="auto"/>
              </w:rPr>
              <w:t xml:space="preserve">Consolidated Market Capitalization </w:t>
            </w:r>
            <w:r>
              <w:rPr>
                <w:rFonts w:ascii="Arial" w:cs="Arial" w:eastAsia="Arial" w:hAnsi="Arial"/>
                <w:sz w:val="18"/>
                <w:szCs w:val="18"/>
                <w:color w:val="auto"/>
                <w:vertAlign w:val="superscript"/>
              </w:rPr>
              <w:t>2</w:t>
            </w:r>
          </w:p>
        </w:tc>
        <w:tc>
          <w:tcPr>
            <w:tcW w:w="1980" w:type="dxa"/>
            <w:vAlign w:val="bottom"/>
          </w:tcPr>
          <w:p>
            <w:pPr>
              <w:ind w:left="180"/>
              <w:spacing w:after="0"/>
              <w:rPr>
                <w:sz w:val="20"/>
                <w:szCs w:val="20"/>
                <w:color w:val="auto"/>
              </w:rPr>
            </w:pPr>
            <w:r>
              <w:rPr>
                <w:rFonts w:ascii="Arial" w:cs="Arial" w:eastAsia="Arial" w:hAnsi="Arial"/>
                <w:sz w:val="14"/>
                <w:szCs w:val="14"/>
                <w:color w:val="auto"/>
              </w:rPr>
              <w:t>$30.4 billion</w:t>
            </w:r>
          </w:p>
        </w:tc>
      </w:tr>
      <w:tr>
        <w:trPr>
          <w:trHeight w:val="205"/>
        </w:trPr>
        <w:tc>
          <w:tcPr>
            <w:tcW w:w="828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2, 3</w:t>
            </w:r>
          </w:p>
        </w:tc>
        <w:tc>
          <w:tcPr>
            <w:tcW w:w="1980" w:type="dxa"/>
            <w:vAlign w:val="bottom"/>
          </w:tcPr>
          <w:p>
            <w:pPr>
              <w:ind w:left="180"/>
              <w:spacing w:after="0"/>
              <w:rPr>
                <w:sz w:val="20"/>
                <w:szCs w:val="20"/>
                <w:color w:val="auto"/>
              </w:rPr>
            </w:pPr>
            <w:r>
              <w:rPr>
                <w:rFonts w:ascii="Arial" w:cs="Arial" w:eastAsia="Arial" w:hAnsi="Arial"/>
                <w:sz w:val="14"/>
                <w:szCs w:val="14"/>
                <w:color w:val="auto"/>
              </w:rPr>
              <w:t>$30.4 billion</w:t>
            </w: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Unsecured Senior Debt Ratings</w:t>
            </w:r>
          </w:p>
        </w:tc>
        <w:tc>
          <w:tcPr>
            <w:tcW w:w="1980" w:type="dxa"/>
            <w:vAlign w:val="bottom"/>
          </w:tcPr>
          <w:p>
            <w:pPr>
              <w:ind w:left="180"/>
              <w:spacing w:after="0"/>
              <w:rPr>
                <w:sz w:val="20"/>
                <w:szCs w:val="20"/>
                <w:color w:val="auto"/>
              </w:rPr>
            </w:pPr>
            <w:r>
              <w:rPr>
                <w:rFonts w:ascii="Arial" w:cs="Arial" w:eastAsia="Arial" w:hAnsi="Arial"/>
                <w:sz w:val="14"/>
                <w:szCs w:val="14"/>
                <w:color w:val="auto"/>
              </w:rPr>
              <w:t>BBB (S&amp;P); Baa2 (Moody’s)</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BXP’s primary business objective is to maximize return on investment in an effort to provide its investors with the greatest possible total return in all points of the economic cycle.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To achieve this objective, the key tenets of our business strategy are to:</w:t>
      </w:r>
    </w:p>
    <w:p>
      <w:pPr>
        <w:spacing w:after="0" w:line="41" w:lineRule="exact"/>
        <w:rPr>
          <w:sz w:val="20"/>
          <w:szCs w:val="20"/>
          <w:color w:val="auto"/>
        </w:rPr>
      </w:pPr>
    </w:p>
    <w:p>
      <w:pPr>
        <w:ind w:left="660" w:right="22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 to embrace our leadership position in the premier workplace segment and leverage our strength in portfolio quality, client relationships, development skills, market penetration, and sustainability to profitably build market share;</w:t>
      </w:r>
    </w:p>
    <w:p>
      <w:pPr>
        <w:spacing w:after="0" w:line="1" w:lineRule="exact"/>
        <w:rPr>
          <w:rFonts w:ascii="Arial" w:cs="Arial" w:eastAsia="Arial" w:hAnsi="Arial"/>
          <w:sz w:val="14"/>
          <w:szCs w:val="14"/>
          <w:color w:val="auto"/>
        </w:rPr>
      </w:pPr>
    </w:p>
    <w:p>
      <w:pPr>
        <w:ind w:left="660" w:right="4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a keen focus on select dynamic gateway markets that exhibit the strongest economic growth and investment characteristics over time - currently Boston, Los Angeles, New York, San Francisco, Seattle, and Washington, DC;</w:t>
      </w:r>
    </w:p>
    <w:p>
      <w:pPr>
        <w:spacing w:after="0" w:line="1" w:lineRule="exact"/>
        <w:rPr>
          <w:rFonts w:ascii="Arial" w:cs="Arial" w:eastAsia="Arial" w:hAnsi="Arial"/>
          <w:sz w:val="14"/>
          <w:szCs w:val="14"/>
          <w:color w:val="auto"/>
        </w:rPr>
      </w:pPr>
    </w:p>
    <w:p>
      <w:pPr>
        <w:ind w:left="660" w:right="80" w:hanging="328"/>
        <w:spacing w:after="0" w:line="28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invest in the highest quality buildings (primarily premier workplaces) with unique amenities and desirable locations that are able to maintain high occupancy rates and achieve premium rental rates through economic cycles;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scale and a full-service real estate capability (leasing, development, construction, marketing, legal, and property management) in our markets to ensure we</w:t>
      </w:r>
    </w:p>
    <w:p>
      <w:pPr>
        <w:spacing w:after="0" w:line="28" w:lineRule="exact"/>
        <w:rPr>
          <w:rFonts w:ascii="Arial" w:cs="Arial" w:eastAsia="Arial" w:hAnsi="Arial"/>
          <w:sz w:val="14"/>
          <w:szCs w:val="14"/>
          <w:color w:val="auto"/>
        </w:rPr>
      </w:pPr>
    </w:p>
    <w:p>
      <w:pPr>
        <w:ind w:left="660" w:right="40"/>
        <w:spacing w:after="0" w:line="272" w:lineRule="auto"/>
        <w:rPr>
          <w:rFonts w:ascii="Arial" w:cs="Arial" w:eastAsia="Arial" w:hAnsi="Arial"/>
          <w:sz w:val="14"/>
          <w:szCs w:val="14"/>
          <w:color w:val="auto"/>
        </w:rPr>
      </w:pPr>
      <w:r>
        <w:rPr>
          <w:rFonts w:ascii="Arial" w:cs="Arial" w:eastAsia="Arial" w:hAnsi="Arial"/>
          <w:sz w:val="14"/>
          <w:szCs w:val="14"/>
          <w:color w:val="auto"/>
        </w:rPr>
        <w:t>(1) see all relevant investment deal flow, (2) maintain an ability to execute on all types of real estate opportunities, such as acquisitions, dispositions, repositioning and development, throughout the real estate investment cycle, (3) provide superior service to our clients and (4) develop and manage our assets in the most sustainable manner possible;</w:t>
      </w:r>
    </w:p>
    <w:p>
      <w:pPr>
        <w:spacing w:after="0" w:line="5"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pursue attractive asset class adjacencies where we have a track record of success, such as life sciences and residential development;</w:t>
      </w:r>
    </w:p>
    <w:p>
      <w:pPr>
        <w:spacing w:after="0" w:line="68" w:lineRule="exact"/>
        <w:rPr>
          <w:rFonts w:ascii="Arial" w:cs="Arial" w:eastAsia="Arial" w:hAnsi="Arial"/>
          <w:sz w:val="14"/>
          <w:szCs w:val="14"/>
          <w:color w:val="auto"/>
        </w:rPr>
      </w:pPr>
    </w:p>
    <w:p>
      <w:pPr>
        <w:ind w:left="660" w:right="58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a leadership position in sustainability innovation to minimize emissions from BXP’s development and in-service portfolio, as well as to provide clients sustainable solutions for their space use needs;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ensure a strong balance sheet to maintain consistent access to capital and the ability to make new investments at opportune times; and</w:t>
      </w:r>
    </w:p>
    <w:p>
      <w:pPr>
        <w:spacing w:after="0" w:line="68" w:lineRule="exact"/>
        <w:rPr>
          <w:rFonts w:ascii="Arial" w:cs="Arial" w:eastAsia="Arial" w:hAnsi="Arial"/>
          <w:sz w:val="14"/>
          <w:szCs w:val="14"/>
          <w:color w:val="auto"/>
        </w:rPr>
      </w:pPr>
    </w:p>
    <w:p>
      <w:pPr>
        <w:ind w:left="660" w:right="240" w:hanging="328"/>
        <w:spacing w:after="0" w:line="28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foster a culture and reputation of integrity, excellence and purposefulness, making us the employer of choice for talented real estate professionals, the landlord and developer of choice for our clients, as well as the counterparty of choice for real estate industry participants.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Board of Directors</w:t>
            </w:r>
          </w:p>
        </w:tc>
        <w:tc>
          <w:tcPr>
            <w:tcW w:w="2920" w:type="dxa"/>
            <w:vAlign w:val="bottom"/>
            <w:tcBorders>
              <w:bottom w:val="single" w:sz="8" w:color="828282"/>
            </w:tcBorders>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Borders>
              <w:bottom w:val="single" w:sz="8" w:color="828282"/>
            </w:tcBorders>
          </w:tcPr>
          <w:p>
            <w:pPr>
              <w:spacing w:after="0"/>
              <w:rPr>
                <w:sz w:val="17"/>
                <w:szCs w:val="17"/>
                <w:color w:val="auto"/>
              </w:rPr>
            </w:pPr>
          </w:p>
        </w:tc>
        <w:tc>
          <w:tcPr>
            <w:tcW w:w="4860" w:type="dxa"/>
            <w:vAlign w:val="bottom"/>
            <w:tcBorders>
              <w:bottom w:val="single" w:sz="8" w:color="828282"/>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color w:val="auto"/>
              </w:rPr>
              <w:t>Owen D. Thomas</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Chairman of the Board</w:t>
            </w:r>
          </w:p>
        </w:tc>
        <w:tc>
          <w:tcPr>
            <w:tcW w:w="1560" w:type="dxa"/>
            <w:vAlign w:val="bottom"/>
          </w:tcPr>
          <w:p>
            <w:pPr>
              <w:ind w:left="20"/>
              <w:spacing w:after="0"/>
              <w:rPr>
                <w:sz w:val="20"/>
                <w:szCs w:val="20"/>
                <w:color w:val="auto"/>
              </w:rPr>
            </w:pPr>
            <w:r>
              <w:rPr>
                <w:rFonts w:ascii="Arial" w:cs="Arial" w:eastAsia="Arial" w:hAnsi="Arial"/>
                <w:sz w:val="14"/>
                <w:szCs w:val="14"/>
                <w:color w:val="auto"/>
              </w:rPr>
              <w:t>Owen D. Thomas</w:t>
            </w:r>
          </w:p>
        </w:tc>
        <w:tc>
          <w:tcPr>
            <w:tcW w:w="4860" w:type="dxa"/>
            <w:vAlign w:val="bottom"/>
          </w:tcPr>
          <w:p>
            <w:pPr>
              <w:ind w:left="20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Douglas T. Linde</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Douglas T. Linde</w:t>
            </w:r>
          </w:p>
        </w:tc>
        <w:tc>
          <w:tcPr>
            <w:tcW w:w="4860" w:type="dxa"/>
            <w:vAlign w:val="bottom"/>
          </w:tcPr>
          <w:p>
            <w:pPr>
              <w:ind w:left="20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Joel I. Klein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Lead Independent Director;</w:t>
            </w:r>
          </w:p>
        </w:tc>
        <w:tc>
          <w:tcPr>
            <w:tcW w:w="1560" w:type="dxa"/>
            <w:vAlign w:val="bottom"/>
          </w:tcPr>
          <w:p>
            <w:pPr>
              <w:ind w:left="20"/>
              <w:spacing w:after="0"/>
              <w:rPr>
                <w:sz w:val="20"/>
                <w:szCs w:val="20"/>
                <w:color w:val="auto"/>
              </w:rPr>
            </w:pPr>
            <w:r>
              <w:rPr>
                <w:rFonts w:ascii="Arial" w:cs="Arial" w:eastAsia="Arial" w:hAnsi="Arial"/>
                <w:sz w:val="14"/>
                <w:szCs w:val="14"/>
                <w:color w:val="auto"/>
              </w:rPr>
              <w:t>Raymond A. Ritchey</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Executive Vice President</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Compensation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Michael E. LaBelle</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Chief Financial Officer and Treasurer</w:t>
            </w:r>
          </w:p>
        </w:tc>
        <w:tc>
          <w:tcPr>
            <w:tcW w:w="0" w:type="dxa"/>
            <w:vAlign w:val="bottom"/>
          </w:tcPr>
          <w:p>
            <w:pPr>
              <w:spacing w:after="0"/>
              <w:rPr>
                <w:sz w:val="1"/>
                <w:szCs w:val="1"/>
                <w:color w:val="auto"/>
              </w:rPr>
            </w:pPr>
          </w:p>
        </w:tc>
      </w:tr>
      <w:tr>
        <w:trPr>
          <w:trHeight w:val="203"/>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Bruce W. Duncan</w:t>
            </w:r>
          </w:p>
        </w:tc>
        <w:tc>
          <w:tcPr>
            <w:tcW w:w="3220" w:type="dxa"/>
            <w:vAlign w:val="bottom"/>
            <w:gridSpan w:val="2"/>
            <w:vMerge w:val="restart"/>
          </w:tcPr>
          <w:p>
            <w:pPr>
              <w:ind w:left="220"/>
              <w:spacing w:after="0"/>
              <w:rPr>
                <w:sz w:val="20"/>
                <w:szCs w:val="20"/>
                <w:color w:val="auto"/>
              </w:rPr>
            </w:pPr>
            <w:r>
              <w:rPr>
                <w:rFonts w:ascii="Arial" w:cs="Arial" w:eastAsia="Arial" w:hAnsi="Arial"/>
                <w:sz w:val="14"/>
                <w:szCs w:val="14"/>
                <w:color w:val="auto"/>
              </w:rPr>
              <w:t>Chair of Audit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Rodney C. Diehl</w:t>
            </w:r>
          </w:p>
        </w:tc>
        <w:tc>
          <w:tcPr>
            <w:tcW w:w="4860" w:type="dxa"/>
            <w:vAlign w:val="bottom"/>
            <w:vMerge w:val="restart"/>
          </w:tcPr>
          <w:p>
            <w:pPr>
              <w:ind w:left="200"/>
              <w:spacing w:after="0"/>
              <w:rPr>
                <w:sz w:val="20"/>
                <w:szCs w:val="20"/>
                <w:color w:val="auto"/>
              </w:rPr>
            </w:pPr>
            <w:r>
              <w:rPr>
                <w:rFonts w:ascii="Arial" w:cs="Arial" w:eastAsia="Arial" w:hAnsi="Arial"/>
                <w:sz w:val="14"/>
                <w:szCs w:val="14"/>
                <w:color w:val="auto"/>
              </w:rPr>
              <w:t>Executive Vice President, West Coast Regions</w:t>
            </w:r>
          </w:p>
        </w:tc>
        <w:tc>
          <w:tcPr>
            <w:tcW w:w="0" w:type="dxa"/>
            <w:vAlign w:val="bottom"/>
          </w:tcPr>
          <w:p>
            <w:pPr>
              <w:spacing w:after="0"/>
              <w:rPr>
                <w:sz w:val="1"/>
                <w:szCs w:val="1"/>
                <w:color w:val="auto"/>
              </w:rPr>
            </w:pPr>
          </w:p>
        </w:tc>
      </w:tr>
      <w:tr>
        <w:trPr>
          <w:trHeight w:val="81"/>
        </w:trPr>
        <w:tc>
          <w:tcPr>
            <w:tcW w:w="1600" w:type="dxa"/>
            <w:vAlign w:val="bottom"/>
            <w:vMerge w:val="continue"/>
          </w:tcPr>
          <w:p>
            <w:pPr>
              <w:spacing w:after="0"/>
              <w:rPr>
                <w:sz w:val="7"/>
                <w:szCs w:val="7"/>
                <w:color w:val="auto"/>
              </w:rPr>
            </w:pPr>
          </w:p>
        </w:tc>
        <w:tc>
          <w:tcPr>
            <w:tcW w:w="322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vMerge w:val="continue"/>
          </w:tcPr>
          <w:p>
            <w:pPr>
              <w:spacing w:after="0"/>
              <w:rPr>
                <w:sz w:val="7"/>
                <w:szCs w:val="7"/>
                <w:color w:val="auto"/>
              </w:rPr>
            </w:pPr>
          </w:p>
        </w:tc>
        <w:tc>
          <w:tcPr>
            <w:tcW w:w="322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Carol B. Einiger</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Donna D. Garesche</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Chief Human Resources Officer</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Diane J. Hoskins</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Sustainability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Bryan J. Koop</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Boston Region</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Mary E. Kipp</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Peter V. Otteni</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Co-Head of the Washington, DC</w:t>
            </w:r>
          </w:p>
        </w:tc>
        <w:tc>
          <w:tcPr>
            <w:tcW w:w="0" w:type="dxa"/>
            <w:vAlign w:val="bottom"/>
          </w:tcPr>
          <w:p>
            <w:pPr>
              <w:spacing w:after="0"/>
              <w:rPr>
                <w:sz w:val="1"/>
                <w:szCs w:val="1"/>
                <w:color w:val="auto"/>
              </w:rPr>
            </w:pPr>
          </w:p>
        </w:tc>
      </w:tr>
      <w:tr>
        <w:trPr>
          <w:trHeight w:val="229"/>
        </w:trPr>
        <w:tc>
          <w:tcPr>
            <w:tcW w:w="1600" w:type="dxa"/>
            <w:vAlign w:val="bottom"/>
          </w:tcPr>
          <w:p>
            <w:pPr>
              <w:ind w:left="20"/>
              <w:spacing w:after="0"/>
              <w:rPr>
                <w:sz w:val="20"/>
                <w:szCs w:val="20"/>
                <w:color w:val="auto"/>
              </w:rPr>
            </w:pPr>
            <w:r>
              <w:rPr>
                <w:rFonts w:ascii="Arial" w:cs="Arial" w:eastAsia="Arial" w:hAnsi="Arial"/>
                <w:sz w:val="14"/>
                <w:szCs w:val="14"/>
                <w:color w:val="auto"/>
              </w:rPr>
              <w:t>Matthew J. Lustig</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Nominating &amp; Corporate</w:t>
            </w:r>
          </w:p>
        </w:tc>
        <w:tc>
          <w:tcPr>
            <w:tcW w:w="156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4"/>
                <w:szCs w:val="14"/>
                <w:color w:val="auto"/>
              </w:rPr>
              <w:t>Region</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Governance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Hilary Spann</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New York Region</w:t>
            </w:r>
          </w:p>
        </w:tc>
        <w:tc>
          <w:tcPr>
            <w:tcW w:w="0" w:type="dxa"/>
            <w:vAlign w:val="bottom"/>
          </w:tcPr>
          <w:p>
            <w:pPr>
              <w:spacing w:after="0"/>
              <w:rPr>
                <w:sz w:val="1"/>
                <w:szCs w:val="1"/>
                <w:color w:val="auto"/>
              </w:rPr>
            </w:pPr>
          </w:p>
        </w:tc>
      </w:tr>
      <w:tr>
        <w:trPr>
          <w:trHeight w:val="203"/>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Timothy J. Naughton</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John J. Stroman</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Co-Head of the Washington, DC</w:t>
            </w: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William H. Walton, III</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4"/>
                <w:szCs w:val="14"/>
                <w:color w:val="auto"/>
              </w:rPr>
              <w:t>Region</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Derek A. (Tony) West</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Colin D. Joynt</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Information Officer</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Eric G. Kevorkian</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Legal Officer and Secretary</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Michael R. Walsh</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Accounting Officer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James J. Whalen</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Technology Officer</w:t>
            </w:r>
          </w:p>
        </w:tc>
        <w:tc>
          <w:tcPr>
            <w:tcW w:w="0" w:type="dxa"/>
            <w:vAlign w:val="bottom"/>
          </w:tcPr>
          <w:p>
            <w:pPr>
              <w:spacing w:after="0"/>
              <w:rPr>
                <w:sz w:val="1"/>
                <w:szCs w:val="1"/>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3"/>
                <w:szCs w:val="13"/>
                <w:color w:val="auto"/>
              </w:rPr>
              <w:t>___________________</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Common units and LTIP units are units of limited partnership interest in Boston Properties Limited Partnership, the entity through which the Company conducts substantially all</w:t>
      </w:r>
    </w:p>
    <w:p>
      <w:pPr>
        <w:ind w:left="80"/>
        <w:spacing w:after="0"/>
        <w:rPr>
          <w:sz w:val="20"/>
          <w:szCs w:val="20"/>
          <w:color w:val="auto"/>
        </w:rPr>
      </w:pPr>
      <w:r>
        <w:rPr>
          <w:rFonts w:ascii="Arial" w:cs="Arial" w:eastAsia="Arial" w:hAnsi="Arial"/>
          <w:sz w:val="14"/>
          <w:szCs w:val="14"/>
          <w:color w:val="auto"/>
        </w:rPr>
        <w:t>of its business.</w:t>
      </w:r>
    </w:p>
    <w:p>
      <w:pPr>
        <w:ind w:left="80" w:hanging="72"/>
        <w:spacing w:after="0" w:line="209" w:lineRule="auto"/>
        <w:tabs>
          <w:tab w:leader="none" w:pos="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For additional detail, see page 28.</w:t>
      </w:r>
    </w:p>
    <w:p>
      <w:pPr>
        <w:ind w:left="80" w:hanging="72"/>
        <w:spacing w:after="0" w:line="222" w:lineRule="auto"/>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and Reconciliations sections of this Supplemental package starting on page 57.</w:t>
      </w:r>
    </w:p>
    <w:p>
      <w:pPr>
        <w:sectPr>
          <w:pgSz w:w="11900" w:h="16838" w:orient="portrait"/>
          <w:cols w:equalWidth="0" w:num="1">
            <w:col w:w="11240"/>
          </w:cols>
          <w:pgMar w:left="320" w:top="279" w:right="339" w:bottom="1440" w:gutter="0" w:footer="0" w:header="0"/>
        </w:sectPr>
      </w:pPr>
    </w:p>
    <w:p>
      <w:pPr>
        <w:spacing w:after="0" w:line="20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279" w:right="339" w:bottom="1440" w:gutter="0" w:footer="0" w:header="0"/>
          <w:type w:val="continuous"/>
        </w:sectPr>
      </w:pPr>
    </w:p>
    <w:bookmarkStart w:id="9" w:name="page10"/>
    <w:bookmarkEnd w:id="9"/>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Guidance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BXP’s guidance for the full year 2024 for diluted earnings per common share attributable to BXP, Inc. (EPS) and diluted funds from operations (FFO) per common share attributable to BXP, Inc. is set forth and reconciled below. Except as described below, the estimates reflect management’s view of current and future market conditions, including assumptions with respect to rental rates, occupancy levels, interest rates, the timing of the lease-up of available space, the timing of development cost outlays and development deliveries, and the earnings impact of the events referenced in the Company’s earnings release issued on October 29, 2024 and those referenced during the related conference call. The estimates do not include (1) possible future gains or losses or the impact on operating results from other possible future property acquisitions or dispositions, (2) the impacts of any other capital markets activity, (3) future write-offs or reinstatements of accounts receivable and accrued rent balances, or (4) future impairment charges. EPS estimates may fluctuate as a result of several factors, including changes in the recognition of depreciation and amortization expense, impairment losses on depreciable real estate, and any gains or losses associated with disposition activity. BXP is not able to assess at this time the potential impact of these factors on projected EPS. By definition, FFO does not include real estate-related depreciation and amortization, impairment losses on depreciable real estate, or gains or losses associated with disposition activities. For a complete definition of FFO and statements of the reasons why management believes it provides useful information to investors, see page 59. There can be no assurance that BXP’s actual results will not differ materially from the estimates set forth below.</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9"/>
              </w:rPr>
              <w:t>Full Year 2024</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340" w:type="dxa"/>
            <w:vAlign w:val="bottom"/>
          </w:tcPr>
          <w:p>
            <w:pPr>
              <w:spacing w:after="0"/>
              <w:rPr>
                <w:sz w:val="16"/>
                <w:szCs w:val="16"/>
                <w:color w:val="auto"/>
              </w:rPr>
            </w:pPr>
          </w:p>
        </w:tc>
        <w:tc>
          <w:tcPr>
            <w:tcW w:w="680" w:type="dxa"/>
            <w:vAlign w:val="bottom"/>
          </w:tcPr>
          <w:p>
            <w:pPr>
              <w:jc w:val="right"/>
              <w:ind w:right="288"/>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4"/>
        </w:trPr>
        <w:tc>
          <w:tcPr>
            <w:tcW w:w="8880" w:type="dxa"/>
            <w:vAlign w:val="bottom"/>
          </w:tcPr>
          <w:p>
            <w:pPr>
              <w:spacing w:after="0"/>
              <w:rPr>
                <w:sz w:val="20"/>
                <w:szCs w:val="20"/>
                <w:color w:val="auto"/>
              </w:rPr>
            </w:pPr>
            <w:r>
              <w:rPr>
                <w:rFonts w:ascii="Arial" w:cs="Arial" w:eastAsia="Arial" w:hAnsi="Arial"/>
                <w:sz w:val="14"/>
                <w:szCs w:val="14"/>
                <w:color w:val="auto"/>
              </w:rPr>
              <w:t>Projected EPS (diluted)</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2.05</w:t>
            </w:r>
          </w:p>
        </w:tc>
        <w:tc>
          <w:tcPr>
            <w:tcW w:w="2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3"/>
        </w:trPr>
        <w:tc>
          <w:tcPr>
            <w:tcW w:w="8880" w:type="dxa"/>
            <w:vAlign w:val="bottom"/>
          </w:tcPr>
          <w:p>
            <w:pPr>
              <w:ind w:left="30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80" w:type="dxa"/>
            <w:vAlign w:val="bottom"/>
          </w:tcPr>
          <w:p>
            <w:pPr>
              <w:ind w:left="820"/>
              <w:spacing w:after="0"/>
              <w:rPr>
                <w:sz w:val="20"/>
                <w:szCs w:val="20"/>
                <w:color w:val="auto"/>
              </w:rPr>
            </w:pPr>
            <w:r>
              <w:rPr>
                <w:rFonts w:ascii="Arial" w:cs="Arial" w:eastAsia="Arial" w:hAnsi="Arial"/>
                <w:sz w:val="14"/>
                <w:szCs w:val="14"/>
                <w:color w:val="auto"/>
              </w:rPr>
              <w:t>Projected Company share of real estate depreciation and amortization</w:t>
            </w:r>
          </w:p>
        </w:tc>
        <w:tc>
          <w:tcPr>
            <w:tcW w:w="240" w:type="dxa"/>
            <w:vAlign w:val="bottom"/>
          </w:tcPr>
          <w:p>
            <w:pPr>
              <w:spacing w:after="0"/>
              <w:rPr>
                <w:sz w:val="17"/>
                <w:szCs w:val="17"/>
                <w:color w:val="auto"/>
              </w:rPr>
            </w:pPr>
          </w:p>
        </w:tc>
        <w:tc>
          <w:tcPr>
            <w:tcW w:w="800" w:type="dxa"/>
            <w:vAlign w:val="bottom"/>
          </w:tcPr>
          <w:p>
            <w:pPr>
              <w:ind w:left="440"/>
              <w:spacing w:after="0"/>
              <w:rPr>
                <w:sz w:val="20"/>
                <w:szCs w:val="20"/>
                <w:color w:val="auto"/>
              </w:rPr>
            </w:pPr>
            <w:r>
              <w:rPr>
                <w:rFonts w:ascii="Arial" w:cs="Arial" w:eastAsia="Arial" w:hAnsi="Arial"/>
                <w:sz w:val="14"/>
                <w:szCs w:val="14"/>
                <w:color w:val="auto"/>
              </w:rPr>
              <w:t>5.09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61"/>
        </w:trPr>
        <w:tc>
          <w:tcPr>
            <w:tcW w:w="8880" w:type="dxa"/>
            <w:vAlign w:val="bottom"/>
          </w:tcPr>
          <w:p>
            <w:pPr>
              <w:ind w:left="820"/>
              <w:spacing w:after="0"/>
              <w:rPr>
                <w:sz w:val="20"/>
                <w:szCs w:val="20"/>
                <w:color w:val="auto"/>
              </w:rPr>
            </w:pPr>
            <w:r>
              <w:rPr>
                <w:rFonts w:ascii="Arial" w:cs="Arial" w:eastAsia="Arial" w:hAnsi="Arial"/>
                <w:sz w:val="14"/>
                <w:szCs w:val="14"/>
                <w:color w:val="auto"/>
              </w:rPr>
              <w:t>Projected Company share of (gains)/losses on sales of real estate, gain on investment from unconsolidated joint venture</w:t>
            </w:r>
          </w:p>
        </w:tc>
        <w:tc>
          <w:tcPr>
            <w:tcW w:w="240" w:type="dxa"/>
            <w:vAlign w:val="bottom"/>
          </w:tcPr>
          <w:p>
            <w:pPr>
              <w:spacing w:after="0"/>
              <w:rPr>
                <w:sz w:val="13"/>
                <w:szCs w:val="13"/>
                <w:color w:val="auto"/>
              </w:rPr>
            </w:pPr>
          </w:p>
        </w:tc>
        <w:tc>
          <w:tcPr>
            <w:tcW w:w="800" w:type="dxa"/>
            <w:vAlign w:val="bottom"/>
            <w:vMerge w:val="restart"/>
          </w:tcPr>
          <w:p>
            <w:pPr>
              <w:ind w:left="380"/>
              <w:spacing w:after="0"/>
              <w:rPr>
                <w:sz w:val="20"/>
                <w:szCs w:val="20"/>
                <w:color w:val="auto"/>
              </w:rPr>
            </w:pPr>
            <w:r>
              <w:rPr>
                <w:rFonts w:ascii="Arial" w:cs="Arial" w:eastAsia="Arial" w:hAnsi="Arial"/>
                <w:sz w:val="14"/>
                <w:szCs w:val="14"/>
                <w:color w:val="auto"/>
              </w:rPr>
              <w:t>(0.05)</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85"/>
        </w:trPr>
        <w:tc>
          <w:tcPr>
            <w:tcW w:w="8880" w:type="dxa"/>
            <w:vAlign w:val="bottom"/>
          </w:tcPr>
          <w:p>
            <w:pPr>
              <w:ind w:left="1000"/>
              <w:spacing w:after="0"/>
              <w:rPr>
                <w:sz w:val="20"/>
                <w:szCs w:val="20"/>
                <w:color w:val="auto"/>
              </w:rPr>
            </w:pPr>
            <w:r>
              <w:rPr>
                <w:rFonts w:ascii="Arial" w:cs="Arial" w:eastAsia="Arial" w:hAnsi="Arial"/>
                <w:sz w:val="14"/>
                <w:szCs w:val="14"/>
                <w:color w:val="auto"/>
              </w:rPr>
              <w:t>and impairments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80" w:type="dxa"/>
            <w:vAlign w:val="bottom"/>
          </w:tcPr>
          <w:p>
            <w:pPr>
              <w:spacing w:after="0"/>
              <w:rPr>
                <w:sz w:val="20"/>
                <w:szCs w:val="20"/>
                <w:color w:val="auto"/>
              </w:rPr>
            </w:pPr>
            <w:r>
              <w:rPr>
                <w:rFonts w:ascii="Arial" w:cs="Arial" w:eastAsia="Arial" w:hAnsi="Arial"/>
                <w:sz w:val="14"/>
                <w:szCs w:val="14"/>
                <w:color w:val="auto"/>
              </w:rPr>
              <w:t>Projected FFO per share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7.09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1"/>
        </w:trPr>
        <w:tc>
          <w:tcPr>
            <w:tcW w:w="8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Full Year 2024</w:t>
            </w:r>
          </w:p>
        </w:tc>
        <w:tc>
          <w:tcPr>
            <w:tcW w:w="780" w:type="dxa"/>
            <w:vAlign w:val="bottom"/>
            <w:tcBorders>
              <w:bottom w:val="single" w:sz="8" w:color="auto"/>
            </w:tcBorders>
          </w:tcPr>
          <w:p>
            <w:pPr>
              <w:spacing w:after="0"/>
              <w:rPr>
                <w:sz w:val="17"/>
                <w:szCs w:val="17"/>
                <w:color w:val="auto"/>
              </w:rPr>
            </w:pPr>
          </w:p>
        </w:tc>
      </w:tr>
      <w:tr>
        <w:trPr>
          <w:trHeight w:val="190"/>
        </w:trPr>
        <w:tc>
          <w:tcPr>
            <w:tcW w:w="8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360" w:type="dxa"/>
            <w:vAlign w:val="bottom"/>
          </w:tcPr>
          <w:p>
            <w:pPr>
              <w:spacing w:after="0"/>
              <w:rPr>
                <w:sz w:val="16"/>
                <w:szCs w:val="16"/>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color w:val="auto"/>
              </w:rPr>
              <w:t>High</w:t>
            </w:r>
          </w:p>
        </w:tc>
      </w:tr>
      <w:tr>
        <w:trPr>
          <w:trHeight w:val="187"/>
        </w:trPr>
        <w:tc>
          <w:tcPr>
            <w:tcW w:w="8640" w:type="dxa"/>
            <w:vAlign w:val="bottom"/>
          </w:tcPr>
          <w:p>
            <w:pPr>
              <w:spacing w:after="0"/>
              <w:rPr>
                <w:sz w:val="20"/>
                <w:szCs w:val="20"/>
                <w:color w:val="auto"/>
              </w:rPr>
            </w:pPr>
            <w:r>
              <w:rPr>
                <w:rFonts w:ascii="Arial" w:cs="Arial" w:eastAsia="Arial" w:hAnsi="Arial"/>
                <w:sz w:val="14"/>
                <w:szCs w:val="14"/>
                <w:b w:val="1"/>
                <w:bCs w:val="1"/>
                <w:color w:val="auto"/>
              </w:rPr>
              <w:t>Operating property activity:</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9"/>
        </w:trPr>
        <w:tc>
          <w:tcPr>
            <w:tcW w:w="8640" w:type="dxa"/>
            <w:vAlign w:val="bottom"/>
          </w:tcPr>
          <w:p>
            <w:pPr>
              <w:ind w:left="400"/>
              <w:spacing w:after="0"/>
              <w:rPr>
                <w:sz w:val="20"/>
                <w:szCs w:val="20"/>
                <w:color w:val="auto"/>
              </w:rPr>
            </w:pPr>
            <w:r>
              <w:rPr>
                <w:rFonts w:ascii="Arial" w:cs="Arial" w:eastAsia="Arial" w:hAnsi="Arial"/>
                <w:sz w:val="14"/>
                <w:szCs w:val="14"/>
                <w:color w:val="auto"/>
              </w:rPr>
              <w:t xml:space="preserve">Average In-service portfolio occupancy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87.00 %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88.20 %</w:t>
            </w:r>
          </w:p>
        </w:tc>
      </w:tr>
      <w:tr>
        <w:trPr>
          <w:trHeight w:val="190"/>
        </w:trPr>
        <w:tc>
          <w:tcPr>
            <w:tcW w:w="8640" w:type="dxa"/>
            <w:vAlign w:val="bottom"/>
          </w:tcPr>
          <w:p>
            <w:pPr>
              <w:ind w:left="400"/>
              <w:spacing w:after="0"/>
              <w:rPr>
                <w:sz w:val="20"/>
                <w:szCs w:val="20"/>
                <w:color w:val="auto"/>
              </w:rPr>
            </w:pPr>
            <w:r>
              <w:rPr>
                <w:rFonts w:ascii="Arial" w:cs="Arial" w:eastAsia="Arial" w:hAnsi="Arial"/>
                <w:sz w:val="14"/>
                <w:szCs w:val="14"/>
                <w:color w:val="auto"/>
              </w:rPr>
              <w:t>Decrease in BXP’s Share of Same Property net operating income (excluding termination income)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Decrease in BXP’s Share of Same Property net operating income - cash (excluding termination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Non Same Properties’ incremental contribution to net operating income over prior year (excluding asset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75,000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82,000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incremental net operating income related to asset sales over prior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straight-line rent and fair value lease revenue (non-cash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110,000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120,000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15,000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16,000</w:t>
            </w:r>
          </w:p>
        </w:tc>
      </w:tr>
      <w:tr>
        <w:trPr>
          <w:trHeight w:val="479"/>
        </w:trPr>
        <w:tc>
          <w:tcPr>
            <w:tcW w:w="8640" w:type="dxa"/>
            <w:vAlign w:val="bottom"/>
          </w:tcPr>
          <w:p>
            <w:pPr>
              <w:spacing w:after="0"/>
              <w:rPr>
                <w:sz w:val="20"/>
                <w:szCs w:val="20"/>
                <w:color w:val="auto"/>
              </w:rPr>
            </w:pPr>
            <w:r>
              <w:rPr>
                <w:rFonts w:ascii="Arial" w:cs="Arial" w:eastAsia="Arial" w:hAnsi="Arial"/>
                <w:sz w:val="14"/>
                <w:szCs w:val="14"/>
                <w:b w:val="1"/>
                <w:bCs w:val="1"/>
                <w:color w:val="auto"/>
              </w:rPr>
              <w:t>Other revenue (expense):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640" w:type="dxa"/>
            <w:vAlign w:val="bottom"/>
          </w:tcPr>
          <w:p>
            <w:pPr>
              <w:ind w:left="400"/>
              <w:spacing w:after="0"/>
              <w:rPr>
                <w:sz w:val="20"/>
                <w:szCs w:val="20"/>
                <w:color w:val="auto"/>
              </w:rPr>
            </w:pPr>
            <w:r>
              <w:rPr>
                <w:rFonts w:ascii="Arial" w:cs="Arial" w:eastAsia="Arial" w:hAnsi="Arial"/>
                <w:sz w:val="14"/>
                <w:szCs w:val="14"/>
                <w:color w:val="auto"/>
              </w:rPr>
              <w:t>Development, management services and other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27,000</w:t>
            </w:r>
          </w:p>
        </w:tc>
      </w:tr>
      <w:tr>
        <w:trPr>
          <w:trHeight w:val="215"/>
        </w:trPr>
        <w:tc>
          <w:tcPr>
            <w:tcW w:w="8640" w:type="dxa"/>
            <w:vAlign w:val="bottom"/>
          </w:tcPr>
          <w:p>
            <w:pPr>
              <w:ind w:left="400"/>
              <w:spacing w:after="0"/>
              <w:rPr>
                <w:sz w:val="20"/>
                <w:szCs w:val="20"/>
                <w:color w:val="auto"/>
              </w:rPr>
            </w:pPr>
            <w:r>
              <w:rPr>
                <w:rFonts w:ascii="Arial" w:cs="Arial" w:eastAsia="Arial" w:hAnsi="Arial"/>
                <w:sz w:val="14"/>
                <w:szCs w:val="14"/>
                <w:color w:val="auto"/>
              </w:rPr>
              <w:t xml:space="preserve">General and administrative expense </w:t>
            </w:r>
            <w:r>
              <w:rPr>
                <w:rFonts w:ascii="Arial" w:cs="Arial" w:eastAsia="Arial" w:hAnsi="Arial"/>
                <w:sz w:val="18"/>
                <w:szCs w:val="18"/>
                <w:color w:val="auto"/>
                <w:vertAlign w:val="superscript"/>
              </w:rPr>
              <w:t>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(158,000)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(154,000)</w:t>
            </w:r>
          </w:p>
        </w:tc>
      </w:tr>
      <w:tr>
        <w:trPr>
          <w:trHeight w:val="190"/>
        </w:trPr>
        <w:tc>
          <w:tcPr>
            <w:tcW w:w="8640" w:type="dxa"/>
            <w:vAlign w:val="bottom"/>
          </w:tcPr>
          <w:p>
            <w:pPr>
              <w:ind w:left="400"/>
              <w:spacing w:after="0"/>
              <w:rPr>
                <w:sz w:val="20"/>
                <w:szCs w:val="20"/>
                <w:color w:val="auto"/>
              </w:rPr>
            </w:pPr>
            <w:r>
              <w:rPr>
                <w:rFonts w:ascii="Arial" w:cs="Arial" w:eastAsia="Arial" w:hAnsi="Arial"/>
                <w:sz w:val="14"/>
                <w:szCs w:val="14"/>
                <w:color w:val="auto"/>
              </w:rPr>
              <w:t>Consolidated net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(590,000)</w:t>
            </w:r>
          </w:p>
        </w:tc>
        <w:tc>
          <w:tcPr>
            <w:tcW w:w="3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(583,000)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Unconsolidated joint venture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(78,000)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(74,000)</w:t>
            </w:r>
          </w:p>
        </w:tc>
      </w:tr>
      <w:tr>
        <w:trPr>
          <w:trHeight w:val="425"/>
        </w:trPr>
        <w:tc>
          <w:tcPr>
            <w:tcW w:w="8640" w:type="dxa"/>
            <w:vAlign w:val="bottom"/>
          </w:tcPr>
          <w:p>
            <w:pPr>
              <w:spacing w:after="0"/>
              <w:rPr>
                <w:sz w:val="20"/>
                <w:szCs w:val="20"/>
                <w:color w:val="auto"/>
              </w:rPr>
            </w:pPr>
            <w:r>
              <w:rPr>
                <w:rFonts w:ascii="Arial" w:cs="Arial" w:eastAsia="Arial" w:hAnsi="Arial"/>
                <w:sz w:val="14"/>
                <w:szCs w:val="14"/>
                <w:b w:val="1"/>
                <w:bCs w:val="1"/>
                <w:color w:val="auto"/>
              </w:rPr>
              <w:t>Noncontrolling interest: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640" w:type="dxa"/>
            <w:vAlign w:val="bottom"/>
          </w:tcPr>
          <w:p>
            <w:pPr>
              <w:ind w:left="400"/>
              <w:spacing w:after="0"/>
              <w:rPr>
                <w:sz w:val="20"/>
                <w:szCs w:val="20"/>
                <w:color w:val="auto"/>
              </w:rPr>
            </w:pPr>
            <w:r>
              <w:rPr>
                <w:rFonts w:ascii="Arial" w:cs="Arial" w:eastAsia="Arial" w:hAnsi="Arial"/>
                <w:sz w:val="14"/>
                <w:szCs w:val="14"/>
                <w:color w:val="auto"/>
              </w:rPr>
              <w:t>Noncontrolling interest in property partnerships’ share of FFO</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(148,000)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(140,000)</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8" w:lineRule="exact"/>
        <w:rPr>
          <w:sz w:val="20"/>
          <w:szCs w:val="20"/>
          <w:color w:val="auto"/>
        </w:rPr>
      </w:pPr>
    </w:p>
    <w:p>
      <w:pPr>
        <w:ind w:left="160" w:hanging="71"/>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Excludes development properties expected to be placed into service in 2024.</w:t>
      </w:r>
    </w:p>
    <w:p>
      <w:pPr>
        <w:ind w:left="160" w:hanging="71"/>
        <w:spacing w:after="0" w:line="222"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Excludes estimated changes in the market value of the Company’s deferred compensation plan and gains (losses) from investments in securities.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7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Q3 2024</w:t>
            </w:r>
          </w:p>
        </w:tc>
      </w:tr>
      <w:tr>
        <w:trPr>
          <w:trHeight w:val="231"/>
        </w:trPr>
        <w:tc>
          <w:tcPr>
            <w:tcW w:w="8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0497F"/>
              </w:rPr>
              <w:t>Financial highlights</w:t>
            </w:r>
          </w:p>
        </w:tc>
      </w:tr>
      <w:tr>
        <w:trPr>
          <w:trHeight w:val="599"/>
        </w:trPr>
        <w:tc>
          <w:tcPr>
            <w:tcW w:w="8360" w:type="dxa"/>
            <w:vAlign w:val="bottom"/>
          </w:tcPr>
          <w:p>
            <w:pPr>
              <w:spacing w:after="0"/>
              <w:rPr>
                <w:sz w:val="20"/>
                <w:szCs w:val="20"/>
                <w:color w:val="auto"/>
              </w:rPr>
            </w:pPr>
            <w:r>
              <w:rPr>
                <w:rFonts w:ascii="Arial" w:cs="Arial" w:eastAsia="Arial" w:hAnsi="Arial"/>
                <w:sz w:val="14"/>
                <w:szCs w:val="14"/>
                <w:color w:val="auto"/>
              </w:rPr>
              <w:t>(unaudited and in thousands, except ratios and per share amounts)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30-Sep-24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30-Jun-24</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83,628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79,615</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0.53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0.51</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FFO attributable to BXP, Inc.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286,858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278,399</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Diluted FFO per share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1.81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1.77</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Dividends per common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0.98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0.98</w:t>
            </w:r>
          </w:p>
        </w:tc>
      </w:tr>
      <w:tr>
        <w:trPr>
          <w:trHeight w:val="26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Funds available for distribution to common shareholders and common unitholders (FAD) </w:t>
            </w:r>
            <w:r>
              <w:rPr>
                <w:rFonts w:ascii="Arial" w:cs="Arial" w:eastAsia="Arial" w:hAnsi="Arial"/>
                <w:sz w:val="18"/>
                <w:szCs w:val="18"/>
                <w:color w:val="auto"/>
                <w:vertAlign w:val="superscript"/>
              </w:rPr>
              <w:t>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219,130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270,639</w:t>
            </w:r>
          </w:p>
        </w:tc>
      </w:tr>
      <w:tr>
        <w:trPr>
          <w:trHeight w:val="25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Selected items: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97"/>
        </w:trPr>
        <w:tc>
          <w:tcPr>
            <w:tcW w:w="8360" w:type="dxa"/>
            <w:vAlign w:val="bottom"/>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859,227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850,482</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Recoveries from clients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137,891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136,081</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Service income from clients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2,430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2,953</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revenue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835,098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820,790</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25,433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16,783</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3, 4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2,294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2,361</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BXP’s Share of termination income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12,179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801</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Ground rent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3,690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3,679</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Capitalized interest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11,625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10,336</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Capitalized wages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4,233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4,807</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Income (loss) from unconsolidated joint ventures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(7,011)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(5,799)</w:t>
            </w:r>
          </w:p>
        </w:tc>
      </w:tr>
      <w:tr>
        <w:trPr>
          <w:trHeight w:val="215"/>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FFO from unconsolidated joint ventures </w:t>
            </w:r>
            <w:r>
              <w:rPr>
                <w:rFonts w:ascii="Arial" w:cs="Arial" w:eastAsia="Arial" w:hAnsi="Arial"/>
                <w:sz w:val="18"/>
                <w:szCs w:val="18"/>
                <w:color w:val="auto"/>
                <w:vertAlign w:val="superscript"/>
              </w:rPr>
              <w:t>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13,746</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14,028</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 in property partnerships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15,237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17,825</w:t>
            </w:r>
          </w:p>
        </w:tc>
      </w:tr>
      <w:tr>
        <w:trPr>
          <w:trHeight w:val="26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FFO attributable to noncontrolling interests in property partnerships </w:t>
            </w:r>
            <w:r>
              <w:rPr>
                <w:rFonts w:ascii="Arial" w:cs="Arial" w:eastAsia="Arial" w:hAnsi="Arial"/>
                <w:sz w:val="18"/>
                <w:szCs w:val="18"/>
                <w:color w:val="auto"/>
                <w:vertAlign w:val="superscript"/>
              </w:rPr>
              <w:t>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34,094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37,028</w:t>
            </w:r>
          </w:p>
        </w:tc>
      </w:tr>
      <w:tr>
        <w:trPr>
          <w:trHeight w:val="25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Balance Sheet items: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97"/>
        </w:trPr>
        <w:tc>
          <w:tcPr>
            <w:tcW w:w="8360" w:type="dxa"/>
            <w:vAlign w:val="bottom"/>
          </w:tcPr>
          <w:p>
            <w:pPr>
              <w:ind w:left="20"/>
              <w:spacing w:after="0"/>
              <w:rPr>
                <w:sz w:val="20"/>
                <w:szCs w:val="20"/>
                <w:color w:val="auto"/>
              </w:rPr>
            </w:pPr>
            <w:r>
              <w:rPr>
                <w:rFonts w:ascii="Arial" w:cs="Arial" w:eastAsia="Arial" w:hAnsi="Arial"/>
                <w:sz w:val="14"/>
                <w:szCs w:val="14"/>
                <w:color w:val="auto"/>
              </w:rPr>
              <w:t>Above-market rents (included within Prepaid Expenses and Other Assets)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8,660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9,869</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Below-market rents (included within Other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31,295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33,801</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Accrued rental income liability (included within Other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108,234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110,350</w:t>
            </w:r>
          </w:p>
        </w:tc>
      </w:tr>
      <w:tr>
        <w:trPr>
          <w:trHeight w:val="317"/>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Ratios: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(excluding capitalized interest) </w:t>
            </w:r>
            <w:r>
              <w:rPr>
                <w:rFonts w:ascii="Arial" w:cs="Arial" w:eastAsia="Arial" w:hAnsi="Arial"/>
                <w:sz w:val="18"/>
                <w:szCs w:val="18"/>
                <w:color w:val="auto"/>
                <w:vertAlign w:val="superscript"/>
              </w:rPr>
              <w:t>7</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3.22</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Interest Coverage Ratio (including capitalized interest) </w:t>
            </w:r>
            <w:r>
              <w:rPr>
                <w:rFonts w:ascii="Arial" w:cs="Arial" w:eastAsia="Arial" w:hAnsi="Arial"/>
                <w:sz w:val="18"/>
                <w:szCs w:val="18"/>
                <w:color w:val="auto"/>
                <w:vertAlign w:val="superscript"/>
              </w:rPr>
              <w:t>7</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2.94</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Fixed Charge Coverage Ratio </w:t>
            </w:r>
            <w:r>
              <w:rPr>
                <w:rFonts w:ascii="Arial" w:cs="Arial" w:eastAsia="Arial" w:hAnsi="Arial"/>
                <w:sz w:val="18"/>
                <w:szCs w:val="18"/>
                <w:color w:val="auto"/>
                <w:vertAlign w:val="superscript"/>
              </w:rPr>
              <w:t>7</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2.44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2.69</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8"/>
                <w:szCs w:val="18"/>
                <w:color w:val="auto"/>
                <w:vertAlign w:val="superscript"/>
              </w:rPr>
              <w:t>8</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7.91</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Change in BXP’s Share of Same Property Net Operating Income (NOI) (excluding termination income) </w:t>
            </w:r>
            <w:r>
              <w:rPr>
                <w:rFonts w:ascii="Arial" w:cs="Arial" w:eastAsia="Arial" w:hAnsi="Arial"/>
                <w:sz w:val="18"/>
                <w:szCs w:val="18"/>
                <w:color w:val="auto"/>
                <w:vertAlign w:val="superscript"/>
              </w:rPr>
              <w:t>9</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Change in BXP’s Share of Same Property NOI (excluding termination income) - cash </w:t>
            </w:r>
            <w:r>
              <w:rPr>
                <w:rFonts w:ascii="Arial" w:cs="Arial" w:eastAsia="Arial" w:hAnsi="Arial"/>
                <w:sz w:val="18"/>
                <w:szCs w:val="18"/>
                <w:color w:val="auto"/>
                <w:vertAlign w:val="superscript"/>
              </w:rPr>
              <w:t>9</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FAD Payout Ratio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78.86 %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63.85 %</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Operating Margins [(rental revenue - rental expense)/rental revenue]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60.7 %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61.0 %</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Occupancy % of In-Service Properties </w:t>
            </w:r>
            <w:r>
              <w:rPr>
                <w:rFonts w:ascii="Arial" w:cs="Arial" w:eastAsia="Arial" w:hAnsi="Arial"/>
                <w:sz w:val="18"/>
                <w:szCs w:val="18"/>
                <w:color w:val="auto"/>
                <w:vertAlign w:val="superscript"/>
              </w:rPr>
              <w:t>10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87.0 %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87.1 %</w:t>
            </w:r>
          </w:p>
        </w:tc>
      </w:tr>
      <w:tr>
        <w:trPr>
          <w:trHeight w:val="25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Leased % of In-Service Properties </w:t>
            </w:r>
            <w:r>
              <w:rPr>
                <w:rFonts w:ascii="Arial" w:cs="Arial" w:eastAsia="Arial" w:hAnsi="Arial"/>
                <w:sz w:val="18"/>
                <w:szCs w:val="18"/>
                <w:color w:val="auto"/>
                <w:vertAlign w:val="superscript"/>
              </w:rPr>
              <w:t>11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89.1 %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89.1 %</w:t>
            </w:r>
          </w:p>
        </w:tc>
      </w:tr>
      <w:tr>
        <w:trPr>
          <w:trHeight w:val="25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Capitalization:</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16,215,246</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15,367,474</w:t>
            </w:r>
          </w:p>
        </w:tc>
      </w:tr>
      <w:tr>
        <w:trPr>
          <w:trHeight w:val="215"/>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Debt </w:t>
            </w:r>
            <w:r>
              <w:rPr>
                <w:rFonts w:ascii="Arial" w:cs="Arial" w:eastAsia="Arial" w:hAnsi="Arial"/>
                <w:sz w:val="18"/>
                <w:szCs w:val="18"/>
                <w:color w:val="auto"/>
                <w:vertAlign w:val="superscript"/>
              </w:rPr>
              <w:t>12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16,235,789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15,385,233</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Market Capitalization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30,395,758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26,216,439</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Debt/Consolidated Market Capitalization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53.35 %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58.62 %</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12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30,416,301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26,234,198</w:t>
            </w:r>
          </w:p>
        </w:tc>
      </w:tr>
      <w:tr>
        <w:trPr>
          <w:trHeight w:val="25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Debt/BXP’s Share of Market Capitalization </w:t>
            </w:r>
            <w:r>
              <w:rPr>
                <w:rFonts w:ascii="Arial" w:cs="Arial" w:eastAsia="Arial" w:hAnsi="Arial"/>
                <w:sz w:val="18"/>
                <w:szCs w:val="18"/>
                <w:color w:val="auto"/>
                <w:vertAlign w:val="superscript"/>
              </w:rPr>
              <w:t>12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53.38 %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-6751320</wp:posOffset>
            </wp:positionV>
            <wp:extent cx="2571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160" w:hanging="71"/>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For a quantitative reconciliation of FFO attributable to BXP, Inc. and Diluted FFO per share, see page 7.</w:t>
      </w:r>
    </w:p>
    <w:p>
      <w:pPr>
        <w:spacing w:after="0" w:line="55" w:lineRule="exact"/>
        <w:rPr>
          <w:sz w:val="20"/>
          <w:szCs w:val="20"/>
          <w:color w:val="auto"/>
        </w:rPr>
      </w:pPr>
    </w:p>
    <w:p>
      <w:pPr>
        <w:ind w:left="180" w:right="360" w:hanging="91"/>
        <w:spacing w:after="0" w:line="231" w:lineRule="auto"/>
        <w:tabs>
          <w:tab w:leader="none" w:pos="178"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of FAD, see page 8. FAD Payout Ratio equals distributions to common shareholders and unitholders (excluding any special distributions) divided by FAD.</w:t>
      </w:r>
    </w:p>
    <w:p>
      <w:pPr>
        <w:ind w:left="160" w:hanging="71"/>
        <w:spacing w:after="0" w:line="222"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ind w:left="160" w:hanging="71"/>
        <w:spacing w:after="0" w:line="238"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net adjustment for above- and below-market leases that are amortized over the terms of the respective leases in place at the property acquisition dates.</w:t>
      </w:r>
    </w:p>
    <w:p>
      <w:pPr>
        <w:spacing w:after="0" w:line="26" w:lineRule="exact"/>
        <w:rPr>
          <w:rFonts w:ascii="Arial" w:cs="Arial" w:eastAsia="Arial" w:hAnsi="Arial"/>
          <w:sz w:val="19"/>
          <w:szCs w:val="19"/>
          <w:color w:val="auto"/>
          <w:vertAlign w:val="superscript"/>
        </w:rPr>
      </w:pPr>
    </w:p>
    <w:p>
      <w:pPr>
        <w:ind w:left="8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For a quantitative reconciliation for the three months ended September 30, 2024, see page 38.</w:t>
      </w:r>
    </w:p>
    <w:p>
      <w:pPr>
        <w:spacing w:after="0" w:line="9" w:lineRule="exact"/>
        <w:rPr>
          <w:rFonts w:ascii="Arial" w:cs="Arial" w:eastAsia="Arial" w:hAnsi="Arial"/>
          <w:sz w:val="19"/>
          <w:szCs w:val="19"/>
          <w:color w:val="auto"/>
          <w:vertAlign w:val="superscript"/>
        </w:rPr>
      </w:pPr>
    </w:p>
    <w:p>
      <w:pPr>
        <w:ind w:left="80"/>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For a quantitative reconciliation for the three months ended September 30, 2024, see page 35.</w:t>
      </w:r>
    </w:p>
    <w:p>
      <w:pPr>
        <w:ind w:left="80"/>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For a quantitative reconciliation for the three months ended September 30, 2024 and June 30, 2024, see page 33.</w:t>
      </w:r>
    </w:p>
    <w:p>
      <w:pPr>
        <w:ind w:left="80"/>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8 </w:t>
      </w:r>
      <w:r>
        <w:rPr>
          <w:rFonts w:ascii="Arial" w:cs="Arial" w:eastAsia="Arial" w:hAnsi="Arial"/>
          <w:sz w:val="14"/>
          <w:szCs w:val="14"/>
          <w:color w:val="auto"/>
        </w:rPr>
        <w:t>For a quantitative reconciliation for the three months ended September 30, 2024 and June 30, 2024, see page 32.</w:t>
      </w:r>
    </w:p>
    <w:p>
      <w:pPr>
        <w:spacing w:after="0" w:line="38" w:lineRule="exact"/>
        <w:rPr>
          <w:rFonts w:ascii="Arial" w:cs="Arial" w:eastAsia="Arial" w:hAnsi="Arial"/>
          <w:sz w:val="19"/>
          <w:szCs w:val="19"/>
          <w:color w:val="auto"/>
          <w:vertAlign w:val="superscript"/>
        </w:rPr>
      </w:pPr>
    </w:p>
    <w:p>
      <w:pPr>
        <w:ind w:left="8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For a quantitative reconciliation for the three months ended September 30, 2024 and June 30, 2024, see pages 11, 67 and 68.</w:t>
      </w:r>
    </w:p>
    <w:p>
      <w:pPr>
        <w:spacing w:after="0" w:line="12"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signed leases for which revenue recognition has commenced in accordance with GAAP. Excludes hotel and residential properties.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279" w:right="339" w:bottom="1440" w:gutter="0" w:footer="0" w:header="0"/>
          <w:type w:val="continuous"/>
        </w:sectPr>
      </w:pPr>
    </w:p>
    <w:bookmarkStart w:id="11" w:name="page12"/>
    <w:bookmarkEnd w:id="1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Financial highlights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80" w:right="240" w:hanging="172"/>
        <w:spacing w:after="0" w:line="222" w:lineRule="auto"/>
        <w:tabs>
          <w:tab w:leader="none" w:pos="169"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and signed leases for vacant space with future commencement dates. Excludes hotel and residential properties.</w:t>
      </w:r>
    </w:p>
    <w:p>
      <w:pPr>
        <w:spacing w:after="0" w:line="1" w:lineRule="exact"/>
        <w:rPr>
          <w:rFonts w:ascii="Arial" w:cs="Arial" w:eastAsia="Arial" w:hAnsi="Arial"/>
          <w:sz w:val="19"/>
          <w:szCs w:val="19"/>
          <w:color w:val="auto"/>
          <w:vertAlign w:val="superscript"/>
        </w:rPr>
      </w:pPr>
    </w:p>
    <w:p>
      <w:pPr>
        <w:ind w:left="160" w:hanging="152"/>
        <w:spacing w:after="0" w:line="237" w:lineRule="auto"/>
        <w:tabs>
          <w:tab w:leader="none" w:pos="16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September 30, 2024, see page 28.</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279" w:right="339" w:bottom="1440" w:gutter="0" w:footer="0" w:header="0"/>
        </w:sectPr>
      </w:pPr>
    </w:p>
    <w:bookmarkStart w:id="12" w:name="page13"/>
    <w:bookmarkEnd w:id="1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20"/>
                <w:szCs w:val="20"/>
                <w:color w:val="auto"/>
              </w:rPr>
            </w:pPr>
            <w:r>
              <w:rPr>
                <w:rFonts w:ascii="Arial" w:cs="Arial" w:eastAsia="Arial" w:hAnsi="Arial"/>
                <w:sz w:val="14"/>
                <w:szCs w:val="14"/>
                <w:color w:val="auto"/>
              </w:rPr>
              <w:t>(unaudited and in thousands)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30-Sep-24</w:t>
            </w:r>
          </w:p>
        </w:tc>
        <w:tc>
          <w:tcPr>
            <w:tcW w:w="18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26,054,928</w:t>
            </w:r>
          </w:p>
        </w:tc>
        <w:tc>
          <w:tcPr>
            <w:tcW w:w="2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25,840,947</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812,122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757,356</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Land held for future development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690,774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675,191</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Right of use assets - finance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372,896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372,896</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Right of use assets - operating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339,804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344,292</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Less accumulated depreciation</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(7,369,545)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(7,198,566)</w:t>
            </w:r>
          </w:p>
        </w:tc>
        <w:tc>
          <w:tcPr>
            <w:tcW w:w="0" w:type="dxa"/>
            <w:vAlign w:val="bottom"/>
          </w:tcPr>
          <w:p>
            <w:pPr>
              <w:spacing w:after="0"/>
              <w:rPr>
                <w:sz w:val="1"/>
                <w:szCs w:val="1"/>
                <w:color w:val="auto"/>
              </w:rPr>
            </w:pPr>
          </w:p>
        </w:tc>
      </w:tr>
      <w:tr>
        <w:trPr>
          <w:trHeight w:val="195"/>
        </w:trPr>
        <w:tc>
          <w:tcPr>
            <w:tcW w:w="8720" w:type="dxa"/>
            <w:vAlign w:val="bottom"/>
          </w:tcPr>
          <w:p>
            <w:pPr>
              <w:ind w:left="680"/>
              <w:spacing w:after="0"/>
              <w:rPr>
                <w:sz w:val="20"/>
                <w:szCs w:val="20"/>
                <w:color w:val="auto"/>
              </w:rPr>
            </w:pPr>
            <w:r>
              <w:rPr>
                <w:rFonts w:ascii="Arial" w:cs="Arial" w:eastAsia="Arial" w:hAnsi="Arial"/>
                <w:sz w:val="14"/>
                <w:szCs w:val="14"/>
                <w:color w:val="auto"/>
              </w:rPr>
              <w:t>Total real estate</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20,900,979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20,792,116</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1,420,475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685,376</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Cash held in escrows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51,009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52,125</w:t>
            </w:r>
          </w:p>
        </w:tc>
        <w:tc>
          <w:tcPr>
            <w:tcW w:w="0" w:type="dxa"/>
            <w:vAlign w:val="bottom"/>
          </w:tcPr>
          <w:p>
            <w:pPr>
              <w:spacing w:after="0"/>
              <w:rPr>
                <w:sz w:val="1"/>
                <w:szCs w:val="1"/>
                <w:color w:val="auto"/>
              </w:rPr>
            </w:pPr>
          </w:p>
        </w:tc>
      </w:tr>
      <w:tr>
        <w:trPr>
          <w:trHeight w:val="202"/>
        </w:trPr>
        <w:tc>
          <w:tcPr>
            <w:tcW w:w="8720" w:type="dxa"/>
            <w:vAlign w:val="bottom"/>
          </w:tcPr>
          <w:p>
            <w:pPr>
              <w:ind w:left="20"/>
              <w:spacing w:after="0"/>
              <w:rPr>
                <w:sz w:val="20"/>
                <w:szCs w:val="20"/>
                <w:color w:val="auto"/>
              </w:rPr>
            </w:pPr>
            <w:r>
              <w:rPr>
                <w:rFonts w:ascii="Arial" w:cs="Arial" w:eastAsia="Arial" w:hAnsi="Arial"/>
                <w:sz w:val="14"/>
                <w:szCs w:val="14"/>
                <w:color w:val="auto"/>
              </w:rPr>
              <w:t>Investments in securities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39,186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36,844</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Tenant and other receivables,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99,706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82,145</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Note receivable,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Related party note receivables,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88,788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88,779</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Sales-type lease receivable,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14,182</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Accrued rental income,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1,438,492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1,414,622</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Deferred charges,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794,571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800,099</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132,078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86,188</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1,421,886</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1,418,817</w:t>
            </w:r>
          </w:p>
        </w:tc>
        <w:tc>
          <w:tcPr>
            <w:tcW w:w="0" w:type="dxa"/>
            <w:vAlign w:val="bottom"/>
          </w:tcPr>
          <w:p>
            <w:pPr>
              <w:spacing w:after="0"/>
              <w:rPr>
                <w:sz w:val="1"/>
                <w:szCs w:val="1"/>
                <w:color w:val="auto"/>
              </w:rPr>
            </w:pPr>
          </w:p>
        </w:tc>
      </w:tr>
      <w:tr>
        <w:trPr>
          <w:trHeight w:val="200"/>
        </w:trPr>
        <w:tc>
          <w:tcPr>
            <w:tcW w:w="8720" w:type="dxa"/>
            <w:vAlign w:val="bottom"/>
          </w:tcPr>
          <w:p>
            <w:pPr>
              <w:ind w:left="13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26,405,536</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25,474,448</w:t>
            </w:r>
          </w:p>
        </w:tc>
        <w:tc>
          <w:tcPr>
            <w:tcW w:w="0" w:type="dxa"/>
            <w:vAlign w:val="bottom"/>
          </w:tcPr>
          <w:p>
            <w:pPr>
              <w:spacing w:after="0"/>
              <w:rPr>
                <w:sz w:val="1"/>
                <w:szCs w:val="1"/>
                <w:color w:val="auto"/>
              </w:rPr>
            </w:pPr>
          </w:p>
        </w:tc>
      </w:tr>
      <w:tr>
        <w:trPr>
          <w:trHeight w:val="2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8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Mortgage notes payable,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4,275,155</w:t>
            </w:r>
          </w:p>
        </w:tc>
        <w:tc>
          <w:tcPr>
            <w:tcW w:w="2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4,371,478</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senior notes,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10,642,033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9,797,220</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line of credit</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term loans,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798,058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698,776</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commercial paper</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02"/>
        </w:trPr>
        <w:tc>
          <w:tcPr>
            <w:tcW w:w="8720" w:type="dxa"/>
            <w:vAlign w:val="bottom"/>
          </w:tcPr>
          <w:p>
            <w:pPr>
              <w:ind w:left="360"/>
              <w:spacing w:after="0"/>
              <w:rPr>
                <w:sz w:val="20"/>
                <w:szCs w:val="20"/>
                <w:color w:val="auto"/>
              </w:rPr>
            </w:pPr>
            <w:r>
              <w:rPr>
                <w:rFonts w:ascii="Arial" w:cs="Arial" w:eastAsia="Arial" w:hAnsi="Arial"/>
                <w:sz w:val="14"/>
                <w:szCs w:val="14"/>
                <w:color w:val="auto"/>
              </w:rPr>
              <w:t>Lease liabilities - finance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373,260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375,601</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Lease liabilities - operating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389,444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385,842</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444,288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372,484</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Dividends and distributions payable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172,191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172,172</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121,360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112,107</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407,441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398,525</w:t>
            </w:r>
          </w:p>
        </w:tc>
        <w:tc>
          <w:tcPr>
            <w:tcW w:w="0" w:type="dxa"/>
            <w:vAlign w:val="bottom"/>
          </w:tcPr>
          <w:p>
            <w:pPr>
              <w:spacing w:after="0"/>
              <w:rPr>
                <w:sz w:val="1"/>
                <w:szCs w:val="1"/>
                <w:color w:val="auto"/>
              </w:rPr>
            </w:pPr>
          </w:p>
        </w:tc>
      </w:tr>
      <w:tr>
        <w:trPr>
          <w:trHeight w:val="199"/>
        </w:trPr>
        <w:tc>
          <w:tcPr>
            <w:tcW w:w="8720" w:type="dxa"/>
            <w:vAlign w:val="bottom"/>
          </w:tcPr>
          <w:p>
            <w:pPr>
              <w:ind w:left="100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18,123,230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17,184,205</w:t>
            </w:r>
          </w:p>
        </w:tc>
        <w:tc>
          <w:tcPr>
            <w:tcW w:w="0" w:type="dxa"/>
            <w:vAlign w:val="bottom"/>
          </w:tcPr>
          <w:p>
            <w:pPr>
              <w:spacing w:after="0"/>
              <w:rPr>
                <w:sz w:val="1"/>
                <w:szCs w:val="1"/>
                <w:color w:val="auto"/>
              </w:rPr>
            </w:pPr>
          </w:p>
        </w:tc>
      </w:tr>
      <w:tr>
        <w:trPr>
          <w:trHeight w:val="383"/>
        </w:trPr>
        <w:tc>
          <w:tcPr>
            <w:tcW w:w="87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Redeemable deferred stock units</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10,696</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7,916</w:t>
            </w:r>
          </w:p>
        </w:tc>
        <w:tc>
          <w:tcPr>
            <w:tcW w:w="0" w:type="dxa"/>
            <w:vAlign w:val="bottom"/>
          </w:tcPr>
          <w:p>
            <w:pPr>
              <w:spacing w:after="0"/>
              <w:rPr>
                <w:sz w:val="1"/>
                <w:szCs w:val="1"/>
                <w:color w:val="auto"/>
              </w:rPr>
            </w:pPr>
          </w:p>
        </w:tc>
      </w:tr>
      <w:tr>
        <w:trPr>
          <w:trHeight w:val="383"/>
        </w:trPr>
        <w:tc>
          <w:tcPr>
            <w:tcW w:w="8720" w:type="dxa"/>
            <w:vAlign w:val="bottom"/>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Stockholders’ equity attributable to BXP, Inc.:</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Excess stock, $0.01 par value, 150,000,000 shares authorized, none issued or outstanding</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8720" w:type="dxa"/>
            <w:vAlign w:val="bottom"/>
          </w:tcPr>
          <w:p>
            <w:pPr>
              <w:ind w:left="360"/>
              <w:spacing w:after="0"/>
              <w:rPr>
                <w:sz w:val="20"/>
                <w:szCs w:val="20"/>
                <w:color w:val="auto"/>
              </w:rPr>
            </w:pPr>
            <w:r>
              <w:rPr>
                <w:rFonts w:ascii="Arial" w:cs="Arial" w:eastAsia="Arial" w:hAnsi="Arial"/>
                <w:sz w:val="14"/>
                <w:szCs w:val="14"/>
                <w:color w:val="auto"/>
              </w:rPr>
              <w:t>Common stock, $0.01 par value, 250,000,000 shares authorized, 158,058,798 and 157,176,741 issued and 157,979,898 and</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1,580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89"/>
        </w:trPr>
        <w:tc>
          <w:tcPr>
            <w:tcW w:w="8720" w:type="dxa"/>
            <w:vAlign w:val="bottom"/>
          </w:tcPr>
          <w:p>
            <w:pPr>
              <w:ind w:left="520"/>
              <w:spacing w:after="0"/>
              <w:rPr>
                <w:sz w:val="20"/>
                <w:szCs w:val="20"/>
                <w:color w:val="auto"/>
              </w:rPr>
            </w:pPr>
            <w:r>
              <w:rPr>
                <w:rFonts w:ascii="Arial" w:cs="Arial" w:eastAsia="Arial" w:hAnsi="Arial"/>
                <w:sz w:val="14"/>
                <w:szCs w:val="14"/>
                <w:color w:val="auto"/>
              </w:rPr>
              <w:t>157,097,841 outstanding at September 30, 2024 and June 30, 2024, respectively</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2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6,822,489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6,768,686</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Dividends in excess of earnings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(1,035,710)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(964,518)</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Treasury common stock at cost, 78,900 shares at September 30, 2024 and June 30, 2024</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(26,428)</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4"/>
        </w:trPr>
        <w:tc>
          <w:tcPr>
            <w:tcW w:w="8720" w:type="dxa"/>
            <w:vAlign w:val="bottom"/>
          </w:tcPr>
          <w:p>
            <w:pPr>
              <w:ind w:left="680"/>
              <w:spacing w:after="0"/>
              <w:rPr>
                <w:sz w:val="20"/>
                <w:szCs w:val="20"/>
                <w:color w:val="auto"/>
              </w:rPr>
            </w:pPr>
            <w:r>
              <w:rPr>
                <w:rFonts w:ascii="Arial" w:cs="Arial" w:eastAsia="Arial" w:hAnsi="Arial"/>
                <w:sz w:val="14"/>
                <w:szCs w:val="14"/>
                <w:color w:val="auto"/>
              </w:rPr>
              <w:t>Total stockholders’ equity attributable to BXP, Inc.</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5,759,209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5,802,862</w:t>
            </w:r>
          </w:p>
        </w:tc>
        <w:tc>
          <w:tcPr>
            <w:tcW w:w="0" w:type="dxa"/>
            <w:vAlign w:val="bottom"/>
          </w:tcPr>
          <w:p>
            <w:pPr>
              <w:spacing w:after="0"/>
              <w:rPr>
                <w:sz w:val="1"/>
                <w:szCs w:val="1"/>
                <w:color w:val="auto"/>
              </w:rPr>
            </w:pPr>
          </w:p>
        </w:tc>
      </w:tr>
      <w:tr>
        <w:trPr>
          <w:trHeight w:val="405"/>
        </w:trPr>
        <w:tc>
          <w:tcPr>
            <w:tcW w:w="87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Common units of the Operating Partnership</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638,129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677,789</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Property partnerships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1,874,272</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1,801,676</w:t>
            </w:r>
          </w:p>
        </w:tc>
        <w:tc>
          <w:tcPr>
            <w:tcW w:w="0" w:type="dxa"/>
            <w:vAlign w:val="bottom"/>
          </w:tcPr>
          <w:p>
            <w:pPr>
              <w:spacing w:after="0"/>
              <w:rPr>
                <w:sz w:val="1"/>
                <w:szCs w:val="1"/>
                <w:color w:val="auto"/>
              </w:rPr>
            </w:pPr>
          </w:p>
        </w:tc>
      </w:tr>
      <w:tr>
        <w:trPr>
          <w:trHeight w:val="198"/>
        </w:trPr>
        <w:tc>
          <w:tcPr>
            <w:tcW w:w="8720" w:type="dxa"/>
            <w:vAlign w:val="bottom"/>
          </w:tcPr>
          <w:p>
            <w:pPr>
              <w:ind w:left="100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8,271,610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8,282,327</w:t>
            </w:r>
          </w:p>
        </w:tc>
        <w:tc>
          <w:tcPr>
            <w:tcW w:w="0" w:type="dxa"/>
            <w:vAlign w:val="bottom"/>
          </w:tcPr>
          <w:p>
            <w:pPr>
              <w:spacing w:after="0"/>
              <w:rPr>
                <w:sz w:val="1"/>
                <w:szCs w:val="1"/>
                <w:color w:val="auto"/>
              </w:rPr>
            </w:pPr>
          </w:p>
        </w:tc>
      </w:tr>
      <w:tr>
        <w:trPr>
          <w:trHeight w:val="200"/>
        </w:trPr>
        <w:tc>
          <w:tcPr>
            <w:tcW w:w="8720" w:type="dxa"/>
            <w:vAlign w:val="bottom"/>
          </w:tcPr>
          <w:p>
            <w:pPr>
              <w:ind w:left="13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26,405,536</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25,474,448</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3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279" w:right="339" w:bottom="1440" w:gutter="0" w:footer="0" w:header="0"/>
          <w:type w:val="continuous"/>
        </w:sectPr>
      </w:pPr>
    </w:p>
    <w:bookmarkStart w:id="13" w:name="page14"/>
    <w:bookmarkEnd w:id="13"/>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20"/>
                <w:szCs w:val="20"/>
                <w:color w:val="auto"/>
              </w:rPr>
            </w:pPr>
            <w:r>
              <w:rPr>
                <w:rFonts w:ascii="Arial" w:cs="Arial" w:eastAsia="Arial" w:hAnsi="Arial"/>
                <w:sz w:val="14"/>
                <w:szCs w:val="14"/>
                <w:color w:val="auto"/>
              </w:rPr>
              <w:t>(unaudited and in thousands, except per share amounts)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30-Sep-24</w:t>
            </w:r>
          </w:p>
        </w:tc>
        <w:tc>
          <w:tcPr>
            <w:tcW w:w="18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77"/>
        </w:trPr>
        <w:tc>
          <w:tcPr>
            <w:tcW w:w="8600" w:type="dxa"/>
            <w:vAlign w:val="bottom"/>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Lease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799,471</w:t>
            </w: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790,555</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Parking and other</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34,255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33,890</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Insurance proceeds</w:t>
            </w:r>
          </w:p>
        </w:tc>
        <w:tc>
          <w:tcPr>
            <w:tcW w:w="1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Hotel revenue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14,812</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Development and management services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204"/>
        </w:trPr>
        <w:tc>
          <w:tcPr>
            <w:tcW w:w="8600" w:type="dxa"/>
            <w:vAlign w:val="bottom"/>
          </w:tcPr>
          <w:p>
            <w:pPr>
              <w:ind w:left="26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196"/>
        </w:trPr>
        <w:tc>
          <w:tcPr>
            <w:tcW w:w="8600" w:type="dxa"/>
            <w:vAlign w:val="bottom"/>
          </w:tcPr>
          <w:p>
            <w:pPr>
              <w:ind w:left="108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859,227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850,482</w:t>
            </w:r>
          </w:p>
        </w:tc>
        <w:tc>
          <w:tcPr>
            <w:tcW w:w="0" w:type="dxa"/>
            <w:vAlign w:val="bottom"/>
          </w:tcPr>
          <w:p>
            <w:pPr>
              <w:spacing w:after="0"/>
              <w:rPr>
                <w:sz w:val="1"/>
                <w:szCs w:val="1"/>
                <w:color w:val="auto"/>
              </w:rPr>
            </w:pPr>
          </w:p>
        </w:tc>
      </w:tr>
      <w:tr>
        <w:trPr>
          <w:trHeight w:val="181"/>
        </w:trPr>
        <w:tc>
          <w:tcPr>
            <w:tcW w:w="86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178,834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175,545</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Real estate taxes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148,809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144,994</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Restoration expenses related to insurance claims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Hotel operating</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9,839</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9"/>
                <w:szCs w:val="9"/>
                <w:color w:val="auto"/>
              </w:rPr>
              <w:t>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33,352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44,109</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Payroll and related costs from management services contracts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4"/>
        </w:trPr>
        <w:tc>
          <w:tcPr>
            <w:tcW w:w="86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222,890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219,542</w:t>
            </w:r>
          </w:p>
        </w:tc>
        <w:tc>
          <w:tcPr>
            <w:tcW w:w="0" w:type="dxa"/>
            <w:vAlign w:val="bottom"/>
          </w:tcPr>
          <w:p>
            <w:pPr>
              <w:spacing w:after="0"/>
              <w:rPr>
                <w:sz w:val="1"/>
                <w:szCs w:val="1"/>
                <w:color w:val="auto"/>
              </w:rPr>
            </w:pPr>
          </w:p>
        </w:tc>
      </w:tr>
      <w:tr>
        <w:trPr>
          <w:trHeight w:val="196"/>
        </w:trPr>
        <w:tc>
          <w:tcPr>
            <w:tcW w:w="8600" w:type="dxa"/>
            <w:vAlign w:val="bottom"/>
          </w:tcPr>
          <w:p>
            <w:pPr>
              <w:ind w:left="108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597,809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599,253</w:t>
            </w:r>
          </w:p>
        </w:tc>
        <w:tc>
          <w:tcPr>
            <w:tcW w:w="0" w:type="dxa"/>
            <w:vAlign w:val="bottom"/>
          </w:tcPr>
          <w:p>
            <w:pPr>
              <w:spacing w:after="0"/>
              <w:rPr>
                <w:sz w:val="1"/>
                <w:szCs w:val="1"/>
                <w:color w:val="auto"/>
              </w:rPr>
            </w:pPr>
          </w:p>
        </w:tc>
      </w:tr>
      <w:tr>
        <w:trPr>
          <w:trHeight w:val="181"/>
        </w:trPr>
        <w:tc>
          <w:tcPr>
            <w:tcW w:w="86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Loss from unconsolidated joint ventures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Gain on sale of real estate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Gains from investments in securities </w:t>
            </w:r>
            <w:r>
              <w:rPr>
                <w:rFonts w:ascii="Arial" w:cs="Arial" w:eastAsia="Arial" w:hAnsi="Arial"/>
                <w:sz w:val="9"/>
                <w:szCs w:val="9"/>
                <w:color w:val="auto"/>
              </w:rPr>
              <w:t>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Unrealized gain on non-real estate investment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2"/>
        </w:trPr>
        <w:tc>
          <w:tcPr>
            <w:tcW w:w="8600" w:type="dxa"/>
            <w:vAlign w:val="bottom"/>
          </w:tcPr>
          <w:p>
            <w:pPr>
              <w:ind w:left="260"/>
              <w:spacing w:after="0"/>
              <w:rPr>
                <w:sz w:val="20"/>
                <w:szCs w:val="20"/>
                <w:color w:val="auto"/>
              </w:rPr>
            </w:pPr>
            <w:r>
              <w:rPr>
                <w:rFonts w:ascii="Arial" w:cs="Arial" w:eastAsia="Arial" w:hAnsi="Arial"/>
                <w:sz w:val="14"/>
                <w:szCs w:val="14"/>
                <w:color w:val="auto"/>
              </w:rPr>
              <w:t>Interest and other income (loss)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10,788</w:t>
            </w:r>
          </w:p>
        </w:tc>
        <w:tc>
          <w:tcPr>
            <w:tcW w:w="0" w:type="dxa"/>
            <w:vAlign w:val="bottom"/>
          </w:tcPr>
          <w:p>
            <w:pPr>
              <w:spacing w:after="0"/>
              <w:rPr>
                <w:sz w:val="1"/>
                <w:szCs w:val="1"/>
                <w:color w:val="auto"/>
              </w:rPr>
            </w:pPr>
          </w:p>
        </w:tc>
      </w:tr>
      <w:tr>
        <w:trPr>
          <w:trHeight w:val="204"/>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9"/>
                <w:szCs w:val="9"/>
                <w:color w:val="auto"/>
              </w:rPr>
              <w:t>2</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(163,194)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(149,642)</w:t>
            </w:r>
          </w:p>
        </w:tc>
        <w:tc>
          <w:tcPr>
            <w:tcW w:w="0" w:type="dxa"/>
            <w:vAlign w:val="bottom"/>
          </w:tcPr>
          <w:p>
            <w:pPr>
              <w:spacing w:after="0"/>
              <w:rPr>
                <w:sz w:val="1"/>
                <w:szCs w:val="1"/>
                <w:color w:val="auto"/>
              </w:rPr>
            </w:pPr>
          </w:p>
        </w:tc>
      </w:tr>
      <w:tr>
        <w:trPr>
          <w:trHeight w:val="195"/>
        </w:trPr>
        <w:tc>
          <w:tcPr>
            <w:tcW w:w="8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108,452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203"/>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207"/>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Noncontrolling interest - common units of the Operating Partnership </w:t>
            </w:r>
            <w:r>
              <w:rPr>
                <w:rFonts w:ascii="Arial" w:cs="Arial" w:eastAsia="Arial" w:hAnsi="Arial"/>
                <w:sz w:val="9"/>
                <w:szCs w:val="9"/>
                <w:color w:val="auto"/>
              </w:rPr>
              <w:t>3</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200"/>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83,628</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79,615</w:t>
            </w:r>
          </w:p>
        </w:tc>
        <w:tc>
          <w:tcPr>
            <w:tcW w:w="0" w:type="dxa"/>
            <w:vAlign w:val="bottom"/>
          </w:tcPr>
          <w:p>
            <w:pPr>
              <w:spacing w:after="0"/>
              <w:rPr>
                <w:sz w:val="1"/>
                <w:szCs w:val="1"/>
                <w:color w:val="auto"/>
              </w:rPr>
            </w:pPr>
          </w:p>
        </w:tc>
      </w:tr>
      <w:tr>
        <w:trPr>
          <w:trHeight w:val="21"/>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PER SHARE OF COMMON STOCK (EPS)</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8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basic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160" w:hanging="71"/>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$2.2 million and $0.3 million for the three months ended September 30, 2024 and June 30, 2024, respectively, related to the Company’s deferred compensation plan.</w:t>
      </w:r>
    </w:p>
    <w:p>
      <w:pPr>
        <w:spacing w:after="0" w:line="55" w:lineRule="exact"/>
        <w:rPr>
          <w:sz w:val="20"/>
          <w:szCs w:val="20"/>
          <w:color w:val="auto"/>
        </w:rPr>
      </w:pPr>
    </w:p>
    <w:p>
      <w:pPr>
        <w:ind w:left="180" w:right="200" w:hanging="91"/>
        <w:spacing w:after="0" w:line="231" w:lineRule="auto"/>
        <w:tabs>
          <w:tab w:leader="none" w:pos="178"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2024, includes an approximately $9.5 million one-time, non-cash decrease in interest expense. The decrease is the result of updating our Skylyne ground lease purchase assumption that decreased previously recorded finance lease interest expense.</w:t>
      </w:r>
    </w:p>
    <w:p>
      <w:pPr>
        <w:ind w:left="160" w:hanging="71"/>
        <w:spacing w:after="0" w:line="222" w:lineRule="auto"/>
        <w:tabs>
          <w:tab w:leader="none" w:pos="1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For additional detail, see page 7.</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279" w:right="339" w:bottom="1440" w:gutter="0" w:footer="0" w:header="0"/>
          <w:type w:val="continuous"/>
        </w:sectPr>
      </w:pPr>
    </w:p>
    <w:bookmarkStart w:id="14" w:name="page15"/>
    <w:bookmarkEnd w:id="1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Funds from operations (FFO)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20"/>
                <w:szCs w:val="20"/>
                <w:color w:val="auto"/>
              </w:rPr>
            </w:pPr>
            <w:r>
              <w:rPr>
                <w:rFonts w:ascii="Arial" w:cs="Arial" w:eastAsia="Arial" w:hAnsi="Arial"/>
                <w:sz w:val="14"/>
                <w:szCs w:val="14"/>
                <w:color w:val="auto"/>
              </w:rPr>
              <w:t>(unaudited and dollars in thousands, except per share amounts)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30-Sep-24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83,628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79,615</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9,587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204"/>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108,452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222,890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219,542</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Noncontrolling interests in property partnerships' share of depreciation and amortization </w:t>
            </w:r>
            <w:r>
              <w:rPr>
                <w:rFonts w:ascii="Arial" w:cs="Arial" w:eastAsia="Arial" w:hAnsi="Arial"/>
                <w:sz w:val="9"/>
                <w:szCs w:val="9"/>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(18,857)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(19,203)</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BXP's share of depreciation and amortization from unconsolidated joint ventures </w:t>
            </w:r>
            <w:r>
              <w:rPr>
                <w:rFonts w:ascii="Arial" w:cs="Arial" w:eastAsia="Arial" w:hAnsi="Arial"/>
                <w:sz w:val="9"/>
                <w:szCs w:val="9"/>
                <w:color w:val="auto"/>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20,757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Corporate-related depreciation and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Non-real estate related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4"/>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FFO attributable to the Operating Partnership (including BXP, Inc.) (Basic FFO)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319,086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310,956</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Partnership’s share of FFO</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32,228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32,557</w:t>
            </w:r>
          </w:p>
        </w:tc>
        <w:tc>
          <w:tcPr>
            <w:tcW w:w="0" w:type="dxa"/>
            <w:vAlign w:val="bottom"/>
          </w:tcPr>
          <w:p>
            <w:pPr>
              <w:spacing w:after="0"/>
              <w:rPr>
                <w:sz w:val="1"/>
                <w:szCs w:val="1"/>
                <w:color w:val="auto"/>
              </w:rPr>
            </w:pPr>
          </w:p>
        </w:tc>
      </w:tr>
      <w:tr>
        <w:trPr>
          <w:trHeight w:val="200"/>
        </w:trPr>
        <w:tc>
          <w:tcPr>
            <w:tcW w:w="8440" w:type="dxa"/>
            <w:vAlign w:val="bottom"/>
          </w:tcPr>
          <w:p>
            <w:pPr>
              <w:ind w:left="20"/>
              <w:spacing w:after="0"/>
              <w:rPr>
                <w:sz w:val="20"/>
                <w:szCs w:val="20"/>
                <w:color w:val="auto"/>
              </w:rPr>
            </w:pPr>
            <w:r>
              <w:rPr>
                <w:rFonts w:ascii="Arial" w:cs="Arial" w:eastAsia="Arial" w:hAnsi="Arial"/>
                <w:sz w:val="14"/>
                <w:szCs w:val="14"/>
                <w:color w:val="auto"/>
              </w:rPr>
              <w:t>FFO attributable to BXP, Inc.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286,858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278,399</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8440" w:type="dxa"/>
            <w:vAlign w:val="bottom"/>
          </w:tcPr>
          <w:p>
            <w:pPr>
              <w:ind w:left="20"/>
              <w:spacing w:after="0"/>
              <w:rPr>
                <w:sz w:val="20"/>
                <w:szCs w:val="20"/>
                <w:color w:val="auto"/>
              </w:rPr>
            </w:pPr>
            <w:r>
              <w:rPr>
                <w:rFonts w:ascii="Arial" w:cs="Arial" w:eastAsia="Arial" w:hAnsi="Arial"/>
                <w:sz w:val="14"/>
                <w:szCs w:val="14"/>
                <w:color w:val="auto"/>
              </w:rPr>
              <w:t>BXP, Inc.’s percentage share of Basic FFO</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89.53 %</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Noncontrolling interest’s - common unitholders percentage share of Basic FFO</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10.47 %</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Basic FFO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60"/>
              <w:spacing w:after="0"/>
              <w:rPr>
                <w:sz w:val="20"/>
                <w:szCs w:val="20"/>
                <w:color w:val="auto"/>
              </w:rPr>
            </w:pPr>
            <w:r>
              <w:rPr>
                <w:rFonts w:ascii="Arial" w:cs="Arial" w:eastAsia="Arial" w:hAnsi="Arial"/>
                <w:sz w:val="14"/>
                <w:szCs w:val="14"/>
                <w:color w:val="auto"/>
              </w:rPr>
              <w:t>Weighted average shares outstanding - basic</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157,039</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Diluted FFO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60"/>
              <w:spacing w:after="0"/>
              <w:rPr>
                <w:sz w:val="20"/>
                <w:szCs w:val="20"/>
                <w:color w:val="auto"/>
              </w:rPr>
            </w:pPr>
            <w:r>
              <w:rPr>
                <w:rFonts w:ascii="Arial" w:cs="Arial" w:eastAsia="Arial" w:hAnsi="Arial"/>
                <w:sz w:val="14"/>
                <w:szCs w:val="14"/>
                <w:color w:val="auto"/>
              </w:rPr>
              <w:t>Weighted average shares outstanding - diluted</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158,213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157,291</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RECONCILIATION TO DILUTED FFO</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84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30-Sep-24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Basic FFO</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319,086</w:t>
            </w:r>
          </w:p>
        </w:tc>
        <w:tc>
          <w:tcPr>
            <w:tcW w:w="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310,956</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40" w:type="dxa"/>
            <w:vAlign w:val="bottom"/>
          </w:tcPr>
          <w:p>
            <w:pPr>
              <w:ind w:left="520"/>
              <w:spacing w:after="0"/>
              <w:rPr>
                <w:sz w:val="20"/>
                <w:szCs w:val="20"/>
                <w:color w:val="auto"/>
              </w:rPr>
            </w:pPr>
            <w:r>
              <w:rPr>
                <w:rFonts w:ascii="Arial" w:cs="Arial" w:eastAsia="Arial" w:hAnsi="Arial"/>
                <w:sz w:val="14"/>
                <w:szCs w:val="14"/>
                <w:color w:val="auto"/>
              </w:rPr>
              <w:t>Effect of dilutive securities - stock-based compensation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Diluted FFO</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319,086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310,956</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Partnership’s share of diluted FFO</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32,132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32,526</w:t>
            </w:r>
          </w:p>
        </w:tc>
        <w:tc>
          <w:tcPr>
            <w:tcW w:w="0" w:type="dxa"/>
            <w:vAlign w:val="bottom"/>
          </w:tcPr>
          <w:p>
            <w:pPr>
              <w:spacing w:after="0"/>
              <w:rPr>
                <w:sz w:val="1"/>
                <w:szCs w:val="1"/>
                <w:color w:val="auto"/>
              </w:rPr>
            </w:pPr>
          </w:p>
        </w:tc>
      </w:tr>
      <w:tr>
        <w:trPr>
          <w:trHeight w:val="200"/>
        </w:trPr>
        <w:tc>
          <w:tcPr>
            <w:tcW w:w="8440" w:type="dxa"/>
            <w:vAlign w:val="bottom"/>
          </w:tcPr>
          <w:p>
            <w:pPr>
              <w:ind w:left="20"/>
              <w:spacing w:after="0"/>
              <w:rPr>
                <w:sz w:val="20"/>
                <w:szCs w:val="20"/>
                <w:color w:val="auto"/>
              </w:rPr>
            </w:pPr>
            <w:r>
              <w:rPr>
                <w:rFonts w:ascii="Arial" w:cs="Arial" w:eastAsia="Arial" w:hAnsi="Arial"/>
                <w:sz w:val="14"/>
                <w:szCs w:val="14"/>
                <w:color w:val="auto"/>
              </w:rPr>
              <w:t>BXP, Inc.’s share of Diluted FFO</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286,954</w:t>
            </w:r>
          </w:p>
        </w:tc>
        <w:tc>
          <w:tcPr>
            <w:tcW w:w="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278,430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RECONCILIATION OF SHARES/UNITS FOR DILUTED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Shares/units for Basic FFO</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Effect of dilutive securities - stock-based compensation (shares/units)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Shares/units for Diluted FFO</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Less:</w:t>
      </w:r>
    </w:p>
    <w:p>
      <w:pPr>
        <w:spacing w:after="0" w:line="42" w:lineRule="exact"/>
        <w:rPr>
          <w:sz w:val="20"/>
          <w:szCs w:val="20"/>
          <w:color w:val="auto"/>
        </w:rPr>
      </w:pPr>
    </w:p>
    <w:p>
      <w:pPr>
        <w:ind w:left="20" w:right="820" w:firstLine="486"/>
        <w:spacing w:after="0" w:line="405" w:lineRule="auto"/>
        <w:rPr>
          <w:sz w:val="20"/>
          <w:szCs w:val="20"/>
          <w:color w:val="auto"/>
        </w:rPr>
      </w:pPr>
      <w:r>
        <w:rPr>
          <w:rFonts w:ascii="Arial" w:cs="Arial" w:eastAsia="Arial" w:hAnsi="Arial"/>
          <w:sz w:val="14"/>
          <w:szCs w:val="14"/>
          <w:color w:val="auto"/>
        </w:rPr>
        <w:t>Noncontrolling interest - common units of the Operating Partnership’s share of Diluted FFO (shares/units) BXP, Inc.’s share of shares/units for Diluted FFO</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BXP, Inc.’s percentage share of Diluted FFO</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spacing w:after="0" w:line="26" w:lineRule="exact"/>
        <w:rPr>
          <w:rFonts w:ascii="Arial" w:cs="Arial" w:eastAsia="Arial" w:hAnsi="Arial"/>
          <w:sz w:val="19"/>
          <w:szCs w:val="19"/>
          <w:color w:val="auto"/>
          <w:vertAlign w:val="superscript"/>
        </w:rPr>
      </w:pPr>
    </w:p>
    <w:p>
      <w:pPr>
        <w:jc w:val="both"/>
        <w:ind w:right="1920"/>
        <w:spacing w:after="0" w:line="361"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a quantitative reconciliation for the three months ended September 30, 2024, see page 35.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For a quantitative reconciliation for the three months ended September 30, 2024, see page 38.</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30-Sep-24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175,446</w:t>
      </w:r>
    </w:p>
    <w:p>
      <w:pPr>
        <w:spacing w:after="0" w:line="244"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175,934</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158,213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49530</wp:posOffset>
            </wp:positionV>
            <wp:extent cx="831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49530</wp:posOffset>
            </wp:positionV>
            <wp:extent cx="8318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30-Jun-24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175,408</w:t>
      </w:r>
    </w:p>
    <w:p>
      <w:pPr>
        <w:spacing w:after="0" w:line="244"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3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175,660</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18,369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157,291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49530</wp:posOffset>
            </wp:positionV>
            <wp:extent cx="831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5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89.54 %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49530</wp:posOffset>
            </wp:positionV>
            <wp:extent cx="831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1335" w:lineRule="exact"/>
        <w:rPr>
          <w:sz w:val="20"/>
          <w:szCs w:val="20"/>
          <w:color w:val="auto"/>
        </w:rPr>
      </w:pPr>
    </w:p>
    <w:p>
      <w:pPr>
        <w:sectPr>
          <w:pgSz w:w="11900" w:h="16838" w:orient="portrait"/>
          <w:cols w:equalWidth="0" w:num="3">
            <w:col w:w="8020" w:space="720"/>
            <w:col w:w="980" w:space="520"/>
            <w:col w:w="1000"/>
          </w:cols>
          <w:pgMar w:left="320" w:top="279" w:right="339" w:bottom="1440" w:gutter="0" w:footer="0" w:header="0"/>
          <w:type w:val="continuous"/>
        </w:sectPr>
      </w:pPr>
    </w:p>
    <w:p>
      <w:pPr>
        <w:spacing w:after="0" w:line="9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279" w:right="339" w:bottom="1440" w:gutter="0" w:footer="0" w:header="0"/>
          <w:type w:val="continuous"/>
        </w:sectPr>
      </w:pPr>
    </w:p>
    <w:bookmarkStart w:id="15" w:name="page16"/>
    <w:bookmarkEnd w:id="15"/>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Funds available for distributions (FAD)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4"/>
        </w:trPr>
        <w:tc>
          <w:tcPr>
            <w:tcW w:w="8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30-Sep-24</w:t>
            </w:r>
          </w:p>
        </w:tc>
        <w:tc>
          <w:tcPr>
            <w:tcW w:w="22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30-Jun-24</w:t>
            </w:r>
          </w:p>
        </w:tc>
      </w:tr>
      <w:tr>
        <w:trPr>
          <w:trHeight w:val="190"/>
        </w:trPr>
        <w:tc>
          <w:tcPr>
            <w:tcW w:w="838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83,628</w:t>
            </w: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79,615</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9,587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9,509</w:t>
            </w:r>
          </w:p>
        </w:tc>
      </w:tr>
      <w:tr>
        <w:trPr>
          <w:trHeight w:val="204"/>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15,237</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17,825</w:t>
            </w:r>
          </w:p>
        </w:tc>
      </w:tr>
      <w:tr>
        <w:trPr>
          <w:trHeight w:val="194"/>
        </w:trPr>
        <w:tc>
          <w:tcPr>
            <w:tcW w:w="8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108,452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106,949</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222,890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219,542</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Noncontrolling interests in property partnerships’ share of depreciation and amortization </w:t>
            </w:r>
            <w:r>
              <w:rPr>
                <w:rFonts w:ascii="Arial" w:cs="Arial" w:eastAsia="Arial" w:hAnsi="Arial"/>
                <w:sz w:val="9"/>
                <w:szCs w:val="9"/>
                <w:color w:val="auto"/>
              </w:rPr>
              <w:t>2</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(18,857)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(19,203)</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depreciation and amortization from unconsolidated joint ventures </w:t>
            </w:r>
            <w:r>
              <w:rPr>
                <w:rFonts w:ascii="Arial" w:cs="Arial" w:eastAsia="Arial" w:hAnsi="Arial"/>
                <w:sz w:val="9"/>
                <w:szCs w:val="9"/>
                <w:color w:val="auto"/>
              </w:rPr>
              <w:t>3</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20,757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19,827</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Corporate-related depreciation and amortization</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(406)</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Non-real estate related amortization</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2,130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2,130</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517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58</w:t>
            </w:r>
          </w:p>
        </w:tc>
      </w:tr>
      <w:tr>
        <w:trPr>
          <w:trHeight w:val="204"/>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15,237</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17,825</w:t>
            </w:r>
          </w:p>
        </w:tc>
      </w:tr>
      <w:tr>
        <w:trPr>
          <w:trHeight w:val="194"/>
        </w:trPr>
        <w:tc>
          <w:tcPr>
            <w:tcW w:w="8380" w:type="dxa"/>
            <w:vAlign w:val="bottom"/>
          </w:tcPr>
          <w:p>
            <w:pPr>
              <w:ind w:left="20"/>
              <w:spacing w:after="0"/>
              <w:rPr>
                <w:sz w:val="20"/>
                <w:szCs w:val="20"/>
                <w:color w:val="auto"/>
              </w:rPr>
            </w:pPr>
            <w:r>
              <w:rPr>
                <w:rFonts w:ascii="Arial" w:cs="Arial" w:eastAsia="Arial" w:hAnsi="Arial"/>
                <w:sz w:val="14"/>
                <w:szCs w:val="14"/>
                <w:color w:val="auto"/>
              </w:rPr>
              <w:t>Basic FFO</w:t>
            </w:r>
          </w:p>
        </w:tc>
        <w:tc>
          <w:tcPr>
            <w:tcW w:w="22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319,086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310,956</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9"/>
                <w:szCs w:val="9"/>
                <w:color w:val="auto"/>
              </w:rPr>
              <w:t>1, 4</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5,070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3,216</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1,949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2,030</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4,723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4,705</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straight-line ground rent expense adjustment </w:t>
            </w:r>
            <w:r>
              <w:rPr>
                <w:rFonts w:ascii="Arial" w:cs="Arial" w:eastAsia="Arial" w:hAnsi="Arial"/>
                <w:sz w:val="9"/>
                <w:szCs w:val="9"/>
                <w:color w:val="auto"/>
              </w:rPr>
              <w:t>1, 5</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679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728</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4,031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15,976</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Non-real estate depreciation and amortization</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(1,692)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(1,724)</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Unearned portion of capitalized fees from consolidated joint ventures </w:t>
            </w:r>
            <w:r>
              <w:rPr>
                <w:rFonts w:ascii="Arial" w:cs="Arial" w:eastAsia="Arial" w:hAnsi="Arial"/>
                <w:sz w:val="9"/>
                <w:szCs w:val="9"/>
                <w:color w:val="auto"/>
              </w:rPr>
              <w:t>6</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2,274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1,189</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25,433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16,783</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9"/>
                <w:szCs w:val="9"/>
                <w:color w:val="auto"/>
              </w:rPr>
              <w:t>1, 7</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2,361</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non-cash termination income adjustment (fair value lease amounts)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2nd generation tenant improvements and leasing commissions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70,457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32,416</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9"/>
                <w:szCs w:val="9"/>
                <w:color w:val="auto"/>
              </w:rPr>
              <w:t>1, 8</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18,220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14,491</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amortization and accretion related to sales type lease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274</w:t>
            </w:r>
          </w:p>
        </w:tc>
      </w:tr>
      <w:tr>
        <w:trPr>
          <w:trHeight w:val="207"/>
        </w:trPr>
        <w:tc>
          <w:tcPr>
            <w:tcW w:w="8380" w:type="dxa"/>
            <w:vAlign w:val="bottom"/>
          </w:tcPr>
          <w:p>
            <w:pPr>
              <w:ind w:left="520"/>
              <w:spacing w:after="0"/>
              <w:rPr>
                <w:sz w:val="20"/>
                <w:szCs w:val="20"/>
                <w:color w:val="auto"/>
              </w:rPr>
            </w:pPr>
            <w:r>
              <w:rPr>
                <w:rFonts w:ascii="Arial" w:cs="Arial" w:eastAsia="Arial" w:hAnsi="Arial"/>
                <w:sz w:val="14"/>
                <w:szCs w:val="14"/>
                <w:color w:val="auto"/>
              </w:rPr>
              <w:t>Hotel improvements, equipment upgrades and replacements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112</w:t>
            </w:r>
          </w:p>
        </w:tc>
      </w:tr>
      <w:tr>
        <w:trPr>
          <w:trHeight w:val="200"/>
        </w:trPr>
        <w:tc>
          <w:tcPr>
            <w:tcW w:w="8380" w:type="dxa"/>
            <w:vAlign w:val="bottom"/>
          </w:tcPr>
          <w:p>
            <w:pPr>
              <w:ind w:left="20"/>
              <w:spacing w:after="0"/>
              <w:rPr>
                <w:sz w:val="20"/>
                <w:szCs w:val="20"/>
                <w:color w:val="auto"/>
              </w:rPr>
            </w:pPr>
            <w:r>
              <w:rPr>
                <w:rFonts w:ascii="Arial" w:cs="Arial" w:eastAsia="Arial" w:hAnsi="Arial"/>
                <w:sz w:val="14"/>
                <w:szCs w:val="14"/>
                <w:color w:val="auto"/>
              </w:rPr>
              <w:t xml:space="preserve">Funds available for distribution to common shareholders and common unitholders (FAD) </w:t>
            </w:r>
            <w:r>
              <w:rPr>
                <w:rFonts w:ascii="Arial" w:cs="Arial" w:eastAsia="Arial" w:hAnsi="Arial"/>
                <w:sz w:val="14"/>
                <w:szCs w:val="14"/>
                <w:b w:val="1"/>
                <w:bCs w:val="1"/>
                <w:color w:val="auto"/>
              </w:rPr>
              <w:t>(A)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219,130</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270,639</w:t>
            </w:r>
          </w:p>
        </w:tc>
      </w:tr>
      <w:tr>
        <w:trPr>
          <w:trHeight w:val="21"/>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0"/>
        </w:trPr>
        <w:tc>
          <w:tcPr>
            <w:tcW w:w="8380" w:type="dxa"/>
            <w:vAlign w:val="bottom"/>
          </w:tcPr>
          <w:p>
            <w:pPr>
              <w:ind w:left="20"/>
              <w:spacing w:after="0"/>
              <w:rPr>
                <w:sz w:val="20"/>
                <w:szCs w:val="20"/>
                <w:color w:val="auto"/>
              </w:rPr>
            </w:pPr>
            <w:r>
              <w:rPr>
                <w:rFonts w:ascii="Arial" w:cs="Arial" w:eastAsia="Arial" w:hAnsi="Arial"/>
                <w:sz w:val="14"/>
                <w:szCs w:val="14"/>
                <w:color w:val="auto"/>
              </w:rPr>
              <w:t xml:space="preserve">Distributions to common shareholders and unitholders (excluding any special distributions) </w:t>
            </w:r>
            <w:r>
              <w:rPr>
                <w:rFonts w:ascii="Arial" w:cs="Arial" w:eastAsia="Arial" w:hAnsi="Arial"/>
                <w:sz w:val="14"/>
                <w:szCs w:val="14"/>
                <w:b w:val="1"/>
                <w:bCs w:val="1"/>
                <w:color w:val="auto"/>
              </w:rPr>
              <w:t>(B)</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172,806</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172,798</w:t>
            </w:r>
          </w:p>
        </w:tc>
      </w:tr>
      <w:tr>
        <w:trPr>
          <w:trHeight w:val="385"/>
        </w:trPr>
        <w:tc>
          <w:tcPr>
            <w:tcW w:w="8380" w:type="dxa"/>
            <w:vAlign w:val="bottom"/>
          </w:tcPr>
          <w:p>
            <w:pPr>
              <w:ind w:left="20"/>
              <w:spacing w:after="0"/>
              <w:rPr>
                <w:sz w:val="20"/>
                <w:szCs w:val="20"/>
                <w:color w:val="auto"/>
              </w:rPr>
            </w:pPr>
            <w:r>
              <w:rPr>
                <w:rFonts w:ascii="Arial" w:cs="Arial" w:eastAsia="Arial" w:hAnsi="Arial"/>
                <w:sz w:val="14"/>
                <w:szCs w:val="14"/>
                <w:color w:val="auto"/>
              </w:rPr>
              <w:t>FAD Payout Ratio</w:t>
            </w:r>
            <w:r>
              <w:rPr>
                <w:rFonts w:ascii="Arial" w:cs="Arial" w:eastAsia="Arial" w:hAnsi="Arial"/>
                <w:sz w:val="9"/>
                <w:szCs w:val="9"/>
                <w:color w:val="auto"/>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(B÷A)</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78.86 %</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For a quantitative reconciliation for the three months ended September 30, 2024, see page 35.</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For additional information for the three months ended September 30, 2024, see page 38.</w:t>
      </w:r>
    </w:p>
    <w:p>
      <w:pPr>
        <w:spacing w:after="0" w:line="11" w:lineRule="exact"/>
        <w:rPr>
          <w:rFonts w:ascii="Arial" w:cs="Arial" w:eastAsia="Arial" w:hAnsi="Arial"/>
          <w:sz w:val="19"/>
          <w:szCs w:val="19"/>
          <w:color w:val="auto"/>
          <w:vertAlign w:val="superscript"/>
        </w:rPr>
      </w:pPr>
    </w:p>
    <w:p>
      <w:pPr>
        <w:ind w:left="80" w:right="58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Consists of lease transaction costs that qualify as rent inducements in accordance with GAAP. Lease transaction costs are generally included in 2nd generation tenant improvements and leasing commissions in the period the lease commences.</w:t>
      </w:r>
    </w:p>
    <w:p>
      <w:pPr>
        <w:spacing w:after="0" w:line="12" w:lineRule="exact"/>
        <w:rPr>
          <w:rFonts w:ascii="Arial" w:cs="Arial" w:eastAsia="Arial" w:hAnsi="Arial"/>
          <w:sz w:val="19"/>
          <w:szCs w:val="19"/>
          <w:color w:val="auto"/>
          <w:vertAlign w:val="superscript"/>
        </w:rPr>
      </w:pPr>
    </w:p>
    <w:p>
      <w:pPr>
        <w:ind w:left="80" w:right="240" w:hanging="81"/>
        <w:spacing w:after="0" w:line="275" w:lineRule="auto"/>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Includes the straight-line impact of the Company’s 99-year ground and air rights lease related to the Company’s 100 Clarendon Street garage and Back Bay Transit Station.</w:t>
      </w:r>
      <w:r>
        <w:rPr>
          <w:rFonts w:ascii="Arial" w:cs="Arial" w:eastAsia="Arial" w:hAnsi="Arial"/>
          <w:sz w:val="9"/>
          <w:szCs w:val="9"/>
          <w:color w:val="auto"/>
        </w:rPr>
        <w:t xml:space="preserve"> </w:t>
      </w:r>
      <w:r>
        <w:rPr>
          <w:rFonts w:ascii="Arial" w:cs="Arial" w:eastAsia="Arial" w:hAnsi="Arial"/>
          <w:sz w:val="14"/>
          <w:szCs w:val="14"/>
          <w:color w:val="auto"/>
        </w:rPr>
        <w:t>The Company has allocated contractual ground lease payments aggregating approximately $39.0 million, which it expects to incur by the end of 2026 with no payments thereafter. The Company is recognizing this expense on a straight-line basis over the 99-year term of the ground and air rights lease, see page 3.</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6 </w:t>
      </w:r>
      <w:r>
        <w:rPr>
          <w:rFonts w:ascii="Arial" w:cs="Arial" w:eastAsia="Arial" w:hAnsi="Arial"/>
          <w:sz w:val="14"/>
          <w:szCs w:val="14"/>
          <w:color w:val="auto"/>
        </w:rPr>
        <w:t>See page 63 for additional information.</w:t>
      </w:r>
    </w:p>
    <w:p>
      <w:pPr>
        <w:spacing w:after="0" w:line="52" w:lineRule="exact"/>
        <w:rPr>
          <w:rFonts w:ascii="Arial" w:cs="Arial" w:eastAsia="Arial" w:hAnsi="Arial"/>
          <w:sz w:val="19"/>
          <w:szCs w:val="19"/>
          <w:color w:val="auto"/>
          <w:vertAlign w:val="superscript"/>
        </w:rPr>
      </w:pPr>
    </w:p>
    <w:p>
      <w:pPr>
        <w:ind w:right="500"/>
        <w:spacing w:after="0" w:line="25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Represents the net adjustment for above- and below-market leases that are amortized over the terms of the respective leases in place at the property acquisition dates. </w:t>
      </w:r>
      <w:r>
        <w:rPr>
          <w:rFonts w:ascii="Arial" w:cs="Arial" w:eastAsia="Arial" w:hAnsi="Arial"/>
          <w:sz w:val="9"/>
          <w:szCs w:val="9"/>
          <w:color w:val="auto"/>
        </w:rPr>
        <w:t xml:space="preserve">8 </w:t>
      </w:r>
      <w:r>
        <w:rPr>
          <w:rFonts w:ascii="Arial" w:cs="Arial" w:eastAsia="Arial" w:hAnsi="Arial"/>
          <w:sz w:val="14"/>
          <w:szCs w:val="14"/>
          <w:color w:val="auto"/>
        </w:rPr>
        <w:t>Maintenance capital expenditures do not include capital expenditures that are planned at the time of acquisition or capital expenditures incurred in connection with</w:t>
      </w:r>
    </w:p>
    <w:p>
      <w:pPr>
        <w:ind w:left="80"/>
        <w:spacing w:after="0"/>
        <w:rPr>
          <w:rFonts w:ascii="Arial" w:cs="Arial" w:eastAsia="Arial" w:hAnsi="Arial"/>
          <w:sz w:val="19"/>
          <w:szCs w:val="19"/>
          <w:color w:val="auto"/>
          <w:vertAlign w:val="superscript"/>
        </w:rPr>
      </w:pPr>
      <w:r>
        <w:rPr>
          <w:rFonts w:ascii="Arial" w:cs="Arial" w:eastAsia="Arial" w:hAnsi="Arial"/>
          <w:sz w:val="14"/>
          <w:szCs w:val="14"/>
          <w:color w:val="auto"/>
        </w:rPr>
        <w:t>repositioning activities.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279" w:right="339" w:bottom="1440" w:gutter="0" w:footer="0" w:header="0"/>
        </w:sectPr>
      </w:pPr>
    </w:p>
    <w:bookmarkStart w:id="16" w:name="page17"/>
    <w:bookmarkEnd w:id="16"/>
    <w:p>
      <w:pPr>
        <w:ind w:left="10680"/>
        <w:spacing w:after="0"/>
        <w:rPr>
          <w:sz w:val="20"/>
          <w:szCs w:val="20"/>
          <w:color w:val="auto"/>
        </w:rPr>
      </w:pPr>
      <w:r>
        <w:rPr>
          <w:rFonts w:ascii="Arial" w:cs="Arial" w:eastAsia="Arial" w:hAnsi="Arial"/>
          <w:sz w:val="14"/>
          <w:szCs w:val="14"/>
          <w:color w:val="auto"/>
        </w:rPr>
        <w:t>Q3 2024</w:t>
      </w:r>
    </w:p>
    <w:p>
      <w:pPr>
        <w:spacing w:after="0" w:line="69" w:lineRule="exact"/>
        <w:rPr>
          <w:sz w:val="20"/>
          <w:szCs w:val="20"/>
          <w:color w:val="auto"/>
        </w:rPr>
      </w:pPr>
    </w:p>
    <w:p>
      <w:pPr>
        <w:jc w:val="right"/>
        <w:ind w:left="3980" w:right="20"/>
        <w:spacing w:after="0" w:line="294" w:lineRule="auto"/>
        <w:rPr>
          <w:sz w:val="20"/>
          <w:szCs w:val="20"/>
          <w:color w:val="auto"/>
        </w:rPr>
      </w:pPr>
      <w:r>
        <w:rPr>
          <w:rFonts w:ascii="Arial" w:cs="Arial" w:eastAsia="Arial" w:hAnsi="Arial"/>
          <w:sz w:val="14"/>
          <w:szCs w:val="14"/>
          <w:b w:val="1"/>
          <w:bCs w:val="1"/>
          <w:color w:val="00497F"/>
        </w:rPr>
        <w:t>Reconciliation of net income (loss) attributable to BXP, Inc. to BXP’s Share of same property net operating income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-243840</wp:posOffset>
            </wp:positionV>
            <wp:extent cx="25717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8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30-Sep-24</w:t>
            </w:r>
          </w:p>
        </w:tc>
        <w:tc>
          <w:tcPr>
            <w:tcW w:w="240" w:type="dxa"/>
            <w:vAlign w:val="bottom"/>
          </w:tcPr>
          <w:p>
            <w:pPr>
              <w:spacing w:after="0"/>
              <w:rPr>
                <w:sz w:val="16"/>
                <w:szCs w:val="16"/>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30-Sep-23</w:t>
            </w:r>
          </w:p>
        </w:tc>
        <w:tc>
          <w:tcPr>
            <w:tcW w:w="0" w:type="dxa"/>
            <w:vAlign w:val="bottom"/>
          </w:tcPr>
          <w:p>
            <w:pPr>
              <w:spacing w:after="0"/>
              <w:rPr>
                <w:sz w:val="1"/>
                <w:szCs w:val="1"/>
                <w:color w:val="auto"/>
              </w:rPr>
            </w:pPr>
          </w:p>
        </w:tc>
      </w:tr>
      <w:tr>
        <w:trPr>
          <w:trHeight w:val="190"/>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83,628</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(111,826)</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9,587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(12,626)</w:t>
            </w:r>
          </w:p>
        </w:tc>
        <w:tc>
          <w:tcPr>
            <w:tcW w:w="0" w:type="dxa"/>
            <w:vAlign w:val="bottom"/>
          </w:tcPr>
          <w:p>
            <w:pPr>
              <w:spacing w:after="0"/>
              <w:rPr>
                <w:sz w:val="1"/>
                <w:szCs w:val="1"/>
                <w:color w:val="auto"/>
              </w:rPr>
            </w:pPr>
          </w:p>
        </w:tc>
      </w:tr>
      <w:tr>
        <w:trPr>
          <w:trHeight w:val="204"/>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15,237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20,909</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108,452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(103,543)</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163,194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147,812</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7,011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247,556</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222,890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207,435</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33,352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31,410</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and other income (loss)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14,430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20,715</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(losses) from investments in securities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2,198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204"/>
        </w:trPr>
        <w:tc>
          <w:tcPr>
            <w:tcW w:w="814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9,284</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511,078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501,881</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unconsolidated joint ventures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31,919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39,165</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Partners’ share of NOI from consolidated joint ventures (after income allocation to private REIT shareholders)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44,487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50,047</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NOI</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498,510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490,999</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12,120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215"/>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termination income from unconsolidated joint ventures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Partners’ share of termination income from consolidated joint ventures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NOI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486,331</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488,064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511,078</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501,881</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12,120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210"/>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NOI from non Same Properties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20,883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Same Property NOI (excluding termination income)</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478,075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498,407</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140" w:type="dxa"/>
            <w:vAlign w:val="bottom"/>
          </w:tcPr>
          <w:p>
            <w:pPr>
              <w:ind w:left="520"/>
              <w:spacing w:after="0" w:line="157" w:lineRule="exact"/>
              <w:rPr>
                <w:sz w:val="20"/>
                <w:szCs w:val="20"/>
                <w:color w:val="auto"/>
              </w:rPr>
            </w:pPr>
            <w:r>
              <w:rPr>
                <w:rFonts w:ascii="Arial" w:cs="Arial" w:eastAsia="Arial" w:hAnsi="Arial"/>
                <w:sz w:val="14"/>
                <w:szCs w:val="14"/>
                <w:color w:val="auto"/>
              </w:rPr>
              <w:t>Partners’ share of NOI from consolidated joint ventures (excluding termination income and after income allocation to</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44,469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49,918</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private REIT shareholders) </w:t>
            </w:r>
            <w:r>
              <w:rPr>
                <w:rFonts w:ascii="Arial" w:cs="Arial" w:eastAsia="Arial" w:hAnsi="Arial"/>
                <w:sz w:val="9"/>
                <w:szCs w:val="9"/>
                <w:color w:val="auto"/>
              </w:rPr>
              <w:t>2</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140" w:type="dxa"/>
            <w:vAlign w:val="bottom"/>
          </w:tcPr>
          <w:p>
            <w:pPr>
              <w:ind w:left="520"/>
              <w:spacing w:after="0" w:line="157" w:lineRule="exact"/>
              <w:rPr>
                <w:sz w:val="20"/>
                <w:szCs w:val="20"/>
                <w:color w:val="auto"/>
              </w:rPr>
            </w:pPr>
            <w:r>
              <w:rPr>
                <w:rFonts w:ascii="Arial" w:cs="Arial" w:eastAsia="Arial" w:hAnsi="Arial"/>
                <w:sz w:val="14"/>
                <w:szCs w:val="14"/>
                <w:color w:val="auto"/>
              </w:rPr>
              <w:t>Partners’ share of NOI from non Same Properties from consolidated joint ventures (excluding termination income and</w:t>
            </w:r>
          </w:p>
        </w:tc>
        <w:tc>
          <w:tcPr>
            <w:tcW w:w="240" w:type="dxa"/>
            <w:vAlign w:val="bottom"/>
          </w:tcPr>
          <w:p>
            <w:pPr>
              <w:spacing w:after="0"/>
              <w:rPr>
                <w:sz w:val="13"/>
                <w:szCs w:val="13"/>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after income allocation to private REIT shareholders) </w:t>
            </w:r>
            <w:r>
              <w:rPr>
                <w:rFonts w:ascii="Arial" w:cs="Arial" w:eastAsia="Arial" w:hAnsi="Arial"/>
                <w:sz w:val="9"/>
                <w:szCs w:val="9"/>
                <w:color w:val="auto"/>
              </w:rPr>
              <w:t>3</w:t>
            </w:r>
          </w:p>
        </w:tc>
        <w:tc>
          <w:tcPr>
            <w:tcW w:w="2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unconsolidated joint ventures (excluding termination income)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31,842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38,665</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non Same Properties from unconsolidated joint ventures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Same Property NOI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463,893</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478,386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7" w:lineRule="exact"/>
        <w:rPr>
          <w:sz w:val="20"/>
          <w:szCs w:val="20"/>
          <w:color w:val="auto"/>
        </w:rPr>
      </w:pPr>
    </w:p>
    <w:p>
      <w:pPr>
        <w:ind w:left="80" w:hanging="72"/>
        <w:spacing w:after="0"/>
        <w:tabs>
          <w:tab w:leader="none" w:pos="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2024, see page 66.</w:t>
      </w:r>
    </w:p>
    <w:p>
      <w:pPr>
        <w:ind w:left="80" w:hanging="72"/>
        <w:spacing w:after="0" w:line="222" w:lineRule="auto"/>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2024, see pages 63-64.</w:t>
      </w:r>
    </w:p>
    <w:p>
      <w:pPr>
        <w:spacing w:after="0" w:line="32" w:lineRule="exact"/>
        <w:rPr>
          <w:sz w:val="20"/>
          <w:szCs w:val="20"/>
          <w:color w:val="auto"/>
        </w:rPr>
      </w:pPr>
    </w:p>
    <w:p>
      <w:pPr>
        <w:ind w:left="80" w:right="320" w:hanging="72"/>
        <w:spacing w:after="0" w:line="226" w:lineRule="auto"/>
        <w:tabs>
          <w:tab w:leader="none" w:pos="7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Pages 22-25 indicate by footnote the properties that are not included as part of Same Property NOI. In addition, Same Properties exclude properties that were sold prior to September 30, 2024 and therefore are no longer a part of the Company’s property portfolio.</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279" w:right="339" w:bottom="1440" w:gutter="0" w:footer="0" w:header="0"/>
          <w:type w:val="continuous"/>
        </w:sectPr>
      </w:pPr>
    </w:p>
    <w:bookmarkStart w:id="17" w:name="page18"/>
    <w:bookmarkEnd w:id="17"/>
    <w:p>
      <w:pPr>
        <w:ind w:left="10680"/>
        <w:spacing w:after="0"/>
        <w:rPr>
          <w:sz w:val="20"/>
          <w:szCs w:val="20"/>
          <w:color w:val="auto"/>
        </w:rPr>
      </w:pPr>
      <w:r>
        <w:rPr>
          <w:rFonts w:ascii="Arial" w:cs="Arial" w:eastAsia="Arial" w:hAnsi="Arial"/>
          <w:sz w:val="14"/>
          <w:szCs w:val="14"/>
          <w:color w:val="auto"/>
        </w:rPr>
        <w:t>Q3 2024</w:t>
      </w:r>
    </w:p>
    <w:p>
      <w:pPr>
        <w:spacing w:after="0" w:line="55" w:lineRule="exact"/>
        <w:rPr>
          <w:sz w:val="20"/>
          <w:szCs w:val="20"/>
          <w:color w:val="auto"/>
        </w:rPr>
      </w:pPr>
    </w:p>
    <w:p>
      <w:pPr>
        <w:jc w:val="right"/>
        <w:ind w:left="3980" w:right="20"/>
        <w:spacing w:after="0" w:line="294" w:lineRule="auto"/>
        <w:rPr>
          <w:sz w:val="20"/>
          <w:szCs w:val="20"/>
          <w:color w:val="auto"/>
        </w:rPr>
      </w:pPr>
      <w:r>
        <w:rPr>
          <w:rFonts w:ascii="Arial" w:cs="Arial" w:eastAsia="Arial" w:hAnsi="Arial"/>
          <w:sz w:val="14"/>
          <w:szCs w:val="14"/>
          <w:b w:val="1"/>
          <w:bCs w:val="1"/>
          <w:color w:val="00497F"/>
        </w:rPr>
        <w:t>Reconciliation of net income (loss) attributable to BXP, Inc. to BXP’s Share of same property net operating income (NOI)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-243840</wp:posOffset>
            </wp:positionV>
            <wp:extent cx="2571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30-Sep-24</w:t>
            </w:r>
          </w:p>
        </w:tc>
        <w:tc>
          <w:tcPr>
            <w:tcW w:w="240" w:type="dxa"/>
            <w:vAlign w:val="bottom"/>
          </w:tcPr>
          <w:p>
            <w:pPr>
              <w:spacing w:after="0"/>
              <w:rPr>
                <w:sz w:val="16"/>
                <w:szCs w:val="16"/>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30-Sep-23</w:t>
            </w:r>
          </w:p>
        </w:tc>
        <w:tc>
          <w:tcPr>
            <w:tcW w:w="0" w:type="dxa"/>
            <w:vAlign w:val="bottom"/>
          </w:tcPr>
          <w:p>
            <w:pPr>
              <w:spacing w:after="0"/>
              <w:rPr>
                <w:sz w:val="1"/>
                <w:szCs w:val="1"/>
                <w:color w:val="auto"/>
              </w:rPr>
            </w:pPr>
          </w:p>
        </w:tc>
      </w:tr>
      <w:tr>
        <w:trPr>
          <w:trHeight w:val="190"/>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83,628</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(111,826)</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9,587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(12,626)</w:t>
            </w:r>
          </w:p>
        </w:tc>
        <w:tc>
          <w:tcPr>
            <w:tcW w:w="0" w:type="dxa"/>
            <w:vAlign w:val="bottom"/>
          </w:tcPr>
          <w:p>
            <w:pPr>
              <w:spacing w:after="0"/>
              <w:rPr>
                <w:sz w:val="1"/>
                <w:szCs w:val="1"/>
                <w:color w:val="auto"/>
              </w:rPr>
            </w:pPr>
          </w:p>
        </w:tc>
      </w:tr>
      <w:tr>
        <w:trPr>
          <w:trHeight w:val="204"/>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15,237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20,909</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108,452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(103,543)</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163,194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147,812</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7,011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247,556</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222,890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207,435</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33,352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31,410</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and other income (loss)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14,430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20,715</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(losses) from investments in securities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2,198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204"/>
        </w:trPr>
        <w:tc>
          <w:tcPr>
            <w:tcW w:w="814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9,284</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511,078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501,881</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Straight-line rent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29,578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19,139</w:t>
            </w: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1,298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Amortization and accretion related to sales type lease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12,120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40" w:type="dxa"/>
            <w:vAlign w:val="bottom"/>
          </w:tcPr>
          <w:p>
            <w:pPr>
              <w:ind w:left="480"/>
              <w:spacing w:after="0"/>
              <w:rPr>
                <w:sz w:val="20"/>
                <w:szCs w:val="20"/>
                <w:color w:val="auto"/>
              </w:rPr>
            </w:pPr>
            <w:r>
              <w:rPr>
                <w:rFonts w:ascii="Arial" w:cs="Arial" w:eastAsia="Arial" w:hAnsi="Arial"/>
                <w:sz w:val="14"/>
                <w:szCs w:val="14"/>
                <w:color w:val="auto"/>
              </w:rPr>
              <w:t xml:space="preserve">Straight-line ground rent expense adjustment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1"/>
        </w:trPr>
        <w:tc>
          <w:tcPr>
            <w:tcW w:w="8140" w:type="dxa"/>
            <w:vAlign w:val="bottom"/>
          </w:tcPr>
          <w:p>
            <w:pPr>
              <w:ind w:left="480"/>
              <w:spacing w:after="0" w:line="201" w:lineRule="exact"/>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(5,943)</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NOI - cash (excluding termination income)</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473,400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471,599</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NOI - cash from non Same Properties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18,304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Same Property NOI - cash (excluding termination income)</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455,096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470,929</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140" w:type="dxa"/>
            <w:vAlign w:val="bottom"/>
          </w:tcPr>
          <w:p>
            <w:pPr>
              <w:ind w:left="520"/>
              <w:spacing w:after="0" w:line="159" w:lineRule="exact"/>
              <w:rPr>
                <w:sz w:val="20"/>
                <w:szCs w:val="20"/>
                <w:color w:val="auto"/>
              </w:rPr>
            </w:pPr>
            <w:r>
              <w:rPr>
                <w:rFonts w:ascii="Arial" w:cs="Arial" w:eastAsia="Arial" w:hAnsi="Arial"/>
                <w:sz w:val="14"/>
                <w:szCs w:val="14"/>
                <w:color w:val="auto"/>
              </w:rPr>
              <w:t>Partners’ share of NOI - cash from consolidated joint ventures (excluding termination income and after income</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38,849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44,090</w:t>
            </w:r>
          </w:p>
        </w:tc>
        <w:tc>
          <w:tcPr>
            <w:tcW w:w="0" w:type="dxa"/>
            <w:vAlign w:val="bottom"/>
          </w:tcPr>
          <w:p>
            <w:pPr>
              <w:spacing w:after="0"/>
              <w:rPr>
                <w:sz w:val="1"/>
                <w:szCs w:val="1"/>
                <w:color w:val="auto"/>
              </w:rPr>
            </w:pPr>
          </w:p>
        </w:tc>
      </w:tr>
      <w:tr>
        <w:trPr>
          <w:trHeight w:val="205"/>
        </w:trPr>
        <w:tc>
          <w:tcPr>
            <w:tcW w:w="8140" w:type="dxa"/>
            <w:vAlign w:val="bottom"/>
          </w:tcPr>
          <w:p>
            <w:pPr>
              <w:ind w:left="680"/>
              <w:spacing w:after="0" w:line="205" w:lineRule="exact"/>
              <w:rPr>
                <w:sz w:val="20"/>
                <w:szCs w:val="20"/>
                <w:color w:val="auto"/>
              </w:rPr>
            </w:pPr>
            <w:r>
              <w:rPr>
                <w:rFonts w:ascii="Arial" w:cs="Arial" w:eastAsia="Arial" w:hAnsi="Arial"/>
                <w:sz w:val="14"/>
                <w:szCs w:val="14"/>
                <w:color w:val="auto"/>
              </w:rPr>
              <w:t xml:space="preserve">allocation to private REIT shareholders) </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140" w:type="dxa"/>
            <w:vAlign w:val="bottom"/>
          </w:tcPr>
          <w:p>
            <w:pPr>
              <w:ind w:left="520"/>
              <w:spacing w:after="0" w:line="159" w:lineRule="exact"/>
              <w:rPr>
                <w:sz w:val="20"/>
                <w:szCs w:val="20"/>
                <w:color w:val="auto"/>
              </w:rPr>
            </w:pPr>
            <w:r>
              <w:rPr>
                <w:rFonts w:ascii="Arial" w:cs="Arial" w:eastAsia="Arial" w:hAnsi="Arial"/>
                <w:sz w:val="14"/>
                <w:szCs w:val="14"/>
                <w:color w:val="auto"/>
              </w:rPr>
              <w:t>Partners’ share of NOI - cash from non Same Properties from consolidated joint ventures (excluding termination income</w:t>
            </w:r>
          </w:p>
        </w:tc>
        <w:tc>
          <w:tcPr>
            <w:tcW w:w="240" w:type="dxa"/>
            <w:vAlign w:val="bottom"/>
          </w:tcPr>
          <w:p>
            <w:pPr>
              <w:spacing w:after="0"/>
              <w:rPr>
                <w:sz w:val="13"/>
                <w:szCs w:val="13"/>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40" w:type="dxa"/>
            <w:vAlign w:val="bottom"/>
          </w:tcPr>
          <w:p>
            <w:pPr>
              <w:ind w:left="680"/>
              <w:spacing w:after="0" w:line="202" w:lineRule="exact"/>
              <w:rPr>
                <w:sz w:val="20"/>
                <w:szCs w:val="20"/>
                <w:color w:val="auto"/>
              </w:rPr>
            </w:pPr>
            <w:r>
              <w:rPr>
                <w:rFonts w:ascii="Arial" w:cs="Arial" w:eastAsia="Arial" w:hAnsi="Arial"/>
                <w:sz w:val="14"/>
                <w:szCs w:val="14"/>
                <w:color w:val="auto"/>
              </w:rPr>
              <w:t xml:space="preserve">and after income allocation to private REIT shareholders) </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520"/>
              <w:spacing w:after="0" w:line="205" w:lineRule="exact"/>
              <w:rPr>
                <w:sz w:val="20"/>
                <w:szCs w:val="20"/>
                <w:color w:val="auto"/>
              </w:rPr>
            </w:pPr>
            <w:r>
              <w:rPr>
                <w:rFonts w:ascii="Arial" w:cs="Arial" w:eastAsia="Arial" w:hAnsi="Arial"/>
                <w:sz w:val="14"/>
                <w:szCs w:val="14"/>
                <w:color w:val="auto"/>
              </w:rPr>
              <w:t xml:space="preserve">BXP’s share of NOI - cash from unconsolidated joint ventures (excluding termination income) </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29,568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34,524</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140" w:type="dxa"/>
            <w:vAlign w:val="bottom"/>
          </w:tcPr>
          <w:p>
            <w:pPr>
              <w:ind w:left="520"/>
              <w:spacing w:after="0" w:line="159" w:lineRule="exact"/>
              <w:rPr>
                <w:sz w:val="20"/>
                <w:szCs w:val="20"/>
                <w:color w:val="auto"/>
              </w:rPr>
            </w:pPr>
            <w:r>
              <w:rPr>
                <w:rFonts w:ascii="Arial" w:cs="Arial" w:eastAsia="Arial" w:hAnsi="Arial"/>
                <w:sz w:val="14"/>
                <w:szCs w:val="14"/>
                <w:color w:val="auto"/>
              </w:rPr>
              <w:t>BXP’s share of NOI - cash from non Same Properties from unconsolidated joint ventures (excluding termination</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1,093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7,397</w:t>
            </w:r>
          </w:p>
        </w:tc>
        <w:tc>
          <w:tcPr>
            <w:tcW w:w="0" w:type="dxa"/>
            <w:vAlign w:val="bottom"/>
          </w:tcPr>
          <w:p>
            <w:pPr>
              <w:spacing w:after="0"/>
              <w:rPr>
                <w:sz w:val="1"/>
                <w:szCs w:val="1"/>
                <w:color w:val="auto"/>
              </w:rPr>
            </w:pPr>
          </w:p>
        </w:tc>
      </w:tr>
      <w:tr>
        <w:trPr>
          <w:trHeight w:val="201"/>
        </w:trPr>
        <w:tc>
          <w:tcPr>
            <w:tcW w:w="8140" w:type="dxa"/>
            <w:vAlign w:val="bottom"/>
          </w:tcPr>
          <w:p>
            <w:pPr>
              <w:ind w:left="680"/>
              <w:spacing w:after="0" w:line="201" w:lineRule="exact"/>
              <w:rPr>
                <w:sz w:val="20"/>
                <w:szCs w:val="20"/>
                <w:color w:val="auto"/>
              </w:rPr>
            </w:pPr>
            <w:r>
              <w:rPr>
                <w:rFonts w:ascii="Arial" w:cs="Arial" w:eastAsia="Arial" w:hAnsi="Arial"/>
                <w:sz w:val="14"/>
                <w:szCs w:val="14"/>
                <w:color w:val="auto"/>
              </w:rPr>
              <w:t xml:space="preserve">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Same Property NOI - cash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444,722</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453,966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42" w:lineRule="exact"/>
        <w:rPr>
          <w:sz w:val="20"/>
          <w:szCs w:val="20"/>
          <w:color w:val="auto"/>
        </w:rPr>
      </w:pPr>
    </w:p>
    <w:p>
      <w:pPr>
        <w:ind w:left="80" w:right="20" w:hanging="72"/>
        <w:spacing w:after="0" w:line="253" w:lineRule="auto"/>
        <w:tabs>
          <w:tab w:leader="none" w:pos="7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 light of the front-ended, uneven rental payments required by the Company’s 99-year ground and air rights lease for the 100 Clarendon Street garage and Back Bay Transit Station in Boston, MA, and to make period-to-period comparisons more meaningful to investors, the adjustment does not include the straight-line impact of approximately $(44) and $135 for the three months ended September 30, 2024 and 2023, respectively. As of September 30, 2024, the Company has remaining lease payments aggregating approximately $31.0 million, all of which it expects to incur by the end of 2026 with no payments thereafter. Under GAAP, the Company recognizes expense of $(112) per quarter on a straight-line basis over the term of the lease. However, unlike more traditional ground and air rights leases, the timing and amounts of the rental payments by the Company correlate to the uneven timing and funding by the Company of capital expenditures related to improvements at Back Bay Transit Station. As a result, the amounts excluded from the adjustment each quarter through 2026 may vary significantly.</w:t>
      </w:r>
    </w:p>
    <w:p>
      <w:pPr>
        <w:spacing w:after="0" w:line="6" w:lineRule="exact"/>
        <w:rPr>
          <w:sz w:val="20"/>
          <w:szCs w:val="20"/>
          <w:color w:val="auto"/>
        </w:rPr>
      </w:pPr>
    </w:p>
    <w:p>
      <w:pPr>
        <w:ind w:left="80" w:right="660" w:hanging="72"/>
        <w:spacing w:after="0" w:line="290" w:lineRule="auto"/>
        <w:tabs>
          <w:tab w:leader="none" w:pos="78" w:val="left"/>
        </w:tabs>
        <w:numPr>
          <w:ilvl w:val="0"/>
          <w:numId w:val="23"/>
        </w:numPr>
        <w:rPr>
          <w:rFonts w:ascii="Arial" w:cs="Arial" w:eastAsia="Arial" w:hAnsi="Arial"/>
          <w:sz w:val="9"/>
          <w:szCs w:val="9"/>
          <w:color w:val="auto"/>
        </w:rPr>
      </w:pPr>
      <w:r>
        <w:rPr>
          <w:rFonts w:ascii="Arial" w:cs="Arial" w:eastAsia="Arial" w:hAnsi="Arial"/>
          <w:sz w:val="14"/>
          <w:szCs w:val="14"/>
          <w:color w:val="auto"/>
        </w:rPr>
        <w:t>Consist of lease transaction costs that qualify as rent inducements in accordance with GAAP. Lease transaction costs are generally included in 2nd generation tenant improvements and leasing commissions in the Company’s FAD calculation on page 8.</w:t>
      </w:r>
    </w:p>
    <w:p>
      <w:pPr>
        <w:spacing w:after="0" w:line="2" w:lineRule="exact"/>
        <w:rPr>
          <w:sz w:val="20"/>
          <w:szCs w:val="20"/>
          <w:color w:val="auto"/>
        </w:rPr>
      </w:pPr>
    </w:p>
    <w:p>
      <w:pPr>
        <w:ind w:left="80" w:right="320" w:hanging="72"/>
        <w:spacing w:after="0" w:line="229" w:lineRule="auto"/>
        <w:tabs>
          <w:tab w:leader="none" w:pos="78"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Pages 22-25 indicate by footnote the properties that are not included as part of Same Property NOI. In addition, Same Properties exclude properties that were sold prior to September 30, 2024 and therefore are no longer a part of the Company’s property portfolio.</w:t>
      </w:r>
    </w:p>
    <w:p>
      <w:pPr>
        <w:ind w:left="80" w:hanging="72"/>
        <w:spacing w:after="0" w:line="238" w:lineRule="auto"/>
        <w:tabs>
          <w:tab w:leader="none" w:pos="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2024, see page 64.</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For a quantitative reconciliation for the three months ended September 30, 2024, see page 66.</w:t>
      </w:r>
    </w:p>
    <w:p>
      <w:pPr>
        <w:sectPr>
          <w:pgSz w:w="11900" w:h="16838" w:orient="portrait"/>
          <w:cols w:equalWidth="0" w:num="1">
            <w:col w:w="11240"/>
          </w:cols>
          <w:pgMar w:left="320" w:top="319" w:right="339" w:bottom="1440" w:gutter="0" w:footer="0" w:header="0"/>
        </w:sectPr>
      </w:pPr>
    </w:p>
    <w:p>
      <w:pPr>
        <w:spacing w:after="0" w:line="17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319" w:right="339" w:bottom="1440" w:gutter="0" w:footer="0" w:header="0"/>
          <w:type w:val="continuous"/>
        </w:sectPr>
      </w:pPr>
    </w:p>
    <w:bookmarkStart w:id="18" w:name="page19"/>
    <w:bookmarkEnd w:id="18"/>
    <w:p>
      <w:pPr>
        <w:jc w:val="right"/>
        <w:ind w:right="6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-69850</wp:posOffset>
            </wp:positionV>
            <wp:extent cx="25717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497F"/>
        </w:rPr>
        <w:t>Same property net operating income (NOI)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3"/>
                <w:szCs w:val="13"/>
                <w:b w:val="1"/>
                <w:bCs w:val="1"/>
                <w:color w:val="auto"/>
              </w:rPr>
              <w:t xml:space="preserve">Office </w:t>
            </w:r>
            <w:r>
              <w:rPr>
                <w:rFonts w:ascii="Arial" w:cs="Arial" w:eastAsia="Arial" w:hAnsi="Arial"/>
                <w:sz w:val="17"/>
                <w:szCs w:val="17"/>
                <w:b w:val="1"/>
                <w:bCs w:val="1"/>
                <w:color w:val="auto"/>
                <w:vertAlign w:val="superscript"/>
              </w:rPr>
              <w:t>1</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rPr>
              <w:t>Hotel &amp; Residential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30-Sep-24</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30-Sep-23</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30-Sep-24</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6"/>
        </w:trPr>
        <w:tc>
          <w:tcPr>
            <w:tcW w:w="3220" w:type="dxa"/>
            <w:vAlign w:val="bottom"/>
          </w:tcPr>
          <w:p>
            <w:pPr>
              <w:spacing w:after="0" w:line="186"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778,724</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781,459</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27,199</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25,273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5,711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2,564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773,013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778,895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(5,882)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27,199</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25,273</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1,926</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306,316</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291,003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15,313</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5.3 %</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15,821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14,758</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88"/>
        </w:trPr>
        <w:tc>
          <w:tcPr>
            <w:tcW w:w="3220" w:type="dxa"/>
            <w:vAlign w:val="bottom"/>
          </w:tcPr>
          <w:p>
            <w:pPr>
              <w:spacing w:after="0" w:line="189" w:lineRule="exact"/>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466,697</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487,892</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(21,195)</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11,378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10,515</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22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773,013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778,895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(5,882)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27,199</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25,273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1,926</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28,295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22,045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6,250</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28.4 %</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79</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116.2 %</w:t>
            </w:r>
          </w:p>
        </w:tc>
        <w:tc>
          <w:tcPr>
            <w:tcW w:w="0" w:type="dxa"/>
            <w:vAlign w:val="bottom"/>
          </w:tcPr>
          <w:p>
            <w:pPr>
              <w:spacing w:after="0"/>
              <w:rPr>
                <w:sz w:val="1"/>
                <w:szCs w:val="1"/>
                <w:color w:val="auto"/>
              </w:rPr>
            </w:pPr>
          </w:p>
        </w:tc>
      </w:tr>
      <w:tr>
        <w:trPr>
          <w:trHeight w:val="176"/>
        </w:trPr>
        <w:tc>
          <w:tcPr>
            <w:tcW w:w="322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2"/>
                <w:szCs w:val="12"/>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4,815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(5,943)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10,758</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181.0 %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88"/>
        </w:trPr>
        <w:tc>
          <w:tcPr>
            <w:tcW w:w="322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749,533</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750,907</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(1,374)</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27,201</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25,205</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1,996</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7.9 %</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306,316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291,003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15,313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14,758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1,063</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201"/>
        </w:trPr>
        <w:tc>
          <w:tcPr>
            <w:tcW w:w="322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Pr>
          <w:p>
            <w:pPr>
              <w:spacing w:after="0"/>
              <w:rPr>
                <w:sz w:val="17"/>
                <w:szCs w:val="17"/>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578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3220" w:type="dxa"/>
            <w:vAlign w:val="bottom"/>
          </w:tcPr>
          <w:p>
            <w:pPr>
              <w:spacing w:after="0" w:line="183" w:lineRule="exact"/>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443,716</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460,482</w:t>
            </w:r>
          </w:p>
        </w:tc>
        <w:tc>
          <w:tcPr>
            <w:tcW w:w="1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(16,766)</w:t>
            </w:r>
          </w:p>
        </w:tc>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11,380</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10,447</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1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3"/>
                <w:szCs w:val="13"/>
                <w:b w:val="1"/>
                <w:bCs w:val="1"/>
                <w:color w:val="auto"/>
              </w:rPr>
              <w:t xml:space="preserve">Consolidated Total </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xml:space="preserve"> (A)</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center"/>
              <w:ind w:right="53"/>
              <w:spacing w:after="0"/>
              <w:rPr>
                <w:sz w:val="20"/>
                <w:szCs w:val="20"/>
                <w:color w:val="auto"/>
              </w:rPr>
            </w:pPr>
            <w:r>
              <w:rPr>
                <w:rFonts w:ascii="Arial" w:cs="Arial" w:eastAsia="Arial" w:hAnsi="Arial"/>
                <w:sz w:val="13"/>
                <w:szCs w:val="13"/>
                <w:b w:val="1"/>
                <w:bCs w:val="1"/>
                <w:color w:val="auto"/>
              </w:rPr>
              <w:t>BXP’s share of Unconsolidated Joint Ventures (B)</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30-Sep-24</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30-Sep-23</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30-Sep-24</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6"/>
        </w:trPr>
        <w:tc>
          <w:tcPr>
            <w:tcW w:w="3220" w:type="dxa"/>
            <w:vAlign w:val="bottom"/>
          </w:tcPr>
          <w:p>
            <w:pPr>
              <w:spacing w:after="0" w:line="186"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805,923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806,732</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50,658</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51,320</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5,711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2,564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800,212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804,168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(3,956)</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50,581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50,820</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(239)</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322,137</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305,761</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16,376</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5.4 %</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20,294</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20,923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8"/>
        </w:trPr>
        <w:tc>
          <w:tcPr>
            <w:tcW w:w="3220" w:type="dxa"/>
            <w:vAlign w:val="bottom"/>
          </w:tcPr>
          <w:p>
            <w:pPr>
              <w:spacing w:after="0" w:line="189" w:lineRule="exact"/>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478,075</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498,407</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(20,332)</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30,287</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29,897</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22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800,212</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804,168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(3,956)</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50,581</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50,820</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(239)</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28,442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22,113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6,329</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28.6 %</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3,033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(1,083)</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76"/>
        </w:trPr>
        <w:tc>
          <w:tcPr>
            <w:tcW w:w="322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2"/>
                <w:szCs w:val="12"/>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4,964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(5,943)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10,907</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183.5 %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8"/>
        </w:trPr>
        <w:tc>
          <w:tcPr>
            <w:tcW w:w="322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776,734</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776,112</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622</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0.1 %</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48,631</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47,909</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722</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322,137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305,761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16,376</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20,294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(629)</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1"/>
        </w:trPr>
        <w:tc>
          <w:tcPr>
            <w:tcW w:w="322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499</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578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3"/>
        </w:trPr>
        <w:tc>
          <w:tcPr>
            <w:tcW w:w="3220" w:type="dxa"/>
            <w:vAlign w:val="bottom"/>
          </w:tcPr>
          <w:p>
            <w:pPr>
              <w:spacing w:after="0" w:line="183" w:lineRule="exact"/>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455,096</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470,929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(15,833)</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28,475</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27,127</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1,348</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11"/>
          </w:tcPr>
          <w:p>
            <w:pPr>
              <w:ind w:left="200"/>
              <w:spacing w:after="0"/>
              <w:rPr>
                <w:sz w:val="20"/>
                <w:szCs w:val="20"/>
                <w:color w:val="auto"/>
              </w:rPr>
            </w:pPr>
            <w:r>
              <w:rPr>
                <w:rFonts w:ascii="Arial" w:cs="Arial" w:eastAsia="Arial" w:hAnsi="Arial"/>
                <w:sz w:val="13"/>
                <w:szCs w:val="13"/>
                <w:b w:val="1"/>
                <w:bCs w:val="1"/>
                <w:color w:val="auto"/>
              </w:rPr>
              <w:t>Partners’ share of Consolidated Joint Ventures (C)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8"/>
              </w:rPr>
              <w:t xml:space="preserve">BXP’s Share </w:t>
            </w:r>
            <w:r>
              <w:rPr>
                <w:rFonts w:ascii="Arial" w:cs="Arial" w:eastAsia="Arial" w:hAnsi="Arial"/>
                <w:sz w:val="17"/>
                <w:szCs w:val="17"/>
                <w:b w:val="1"/>
                <w:bCs w:val="1"/>
                <w:color w:val="auto"/>
                <w:w w:val="98"/>
                <w:vertAlign w:val="superscript"/>
              </w:rPr>
              <w:t>2, 6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30-Sep-24</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30-Sep-23</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30-Sep-24</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6"/>
        </w:trPr>
        <w:tc>
          <w:tcPr>
            <w:tcW w:w="3220" w:type="dxa"/>
            <w:vAlign w:val="bottom"/>
          </w:tcPr>
          <w:p>
            <w:pPr>
              <w:spacing w:after="0" w:line="186"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78,919</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83,203</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777,662</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774,849</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129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78,901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83,074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(4,173)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771,892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771,914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34,432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33,156</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3.8 %</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307,999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293,528</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14,471</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4.9 %</w:t>
            </w:r>
          </w:p>
        </w:tc>
        <w:tc>
          <w:tcPr>
            <w:tcW w:w="0" w:type="dxa"/>
            <w:vAlign w:val="bottom"/>
          </w:tcPr>
          <w:p>
            <w:pPr>
              <w:spacing w:after="0"/>
              <w:rPr>
                <w:sz w:val="1"/>
                <w:szCs w:val="1"/>
                <w:color w:val="auto"/>
              </w:rPr>
            </w:pPr>
          </w:p>
        </w:tc>
      </w:tr>
      <w:tr>
        <w:trPr>
          <w:trHeight w:val="188"/>
        </w:trPr>
        <w:tc>
          <w:tcPr>
            <w:tcW w:w="3220" w:type="dxa"/>
            <w:vAlign w:val="bottom"/>
          </w:tcPr>
          <w:p>
            <w:pPr>
              <w:spacing w:after="0" w:line="189" w:lineRule="exact"/>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44,469</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49,918</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(5,449)</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463,893</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478,386</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(14,493)</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22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78,901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83,074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(4,173)</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771,892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771,914</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5,533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6,131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(598)</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24,859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19,015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5,844</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30.7 %</w:t>
            </w:r>
          </w:p>
        </w:tc>
        <w:tc>
          <w:tcPr>
            <w:tcW w:w="0" w:type="dxa"/>
            <w:vAlign w:val="bottom"/>
          </w:tcPr>
          <w:p>
            <w:pPr>
              <w:spacing w:after="0"/>
              <w:rPr>
                <w:sz w:val="1"/>
                <w:szCs w:val="1"/>
                <w:color w:val="auto"/>
              </w:rPr>
            </w:pPr>
          </w:p>
        </w:tc>
      </w:tr>
      <w:tr>
        <w:trPr>
          <w:trHeight w:val="176"/>
        </w:trPr>
        <w:tc>
          <w:tcPr>
            <w:tcW w:w="322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303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(390)</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5,051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(6,124)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11,175</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182.5 %</w:t>
            </w:r>
          </w:p>
        </w:tc>
        <w:tc>
          <w:tcPr>
            <w:tcW w:w="0" w:type="dxa"/>
            <w:vAlign w:val="bottom"/>
          </w:tcPr>
          <w:p>
            <w:pPr>
              <w:spacing w:after="0"/>
              <w:rPr>
                <w:sz w:val="1"/>
                <w:szCs w:val="1"/>
                <w:color w:val="auto"/>
              </w:rPr>
            </w:pPr>
          </w:p>
        </w:tc>
      </w:tr>
      <w:tr>
        <w:trPr>
          <w:trHeight w:val="188"/>
        </w:trPr>
        <w:tc>
          <w:tcPr>
            <w:tcW w:w="322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73,281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77,246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(3,965)</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752,084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746,775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5,309</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34,432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33,156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1,276</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307,999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293,528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14,471</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4.9 %</w:t>
            </w:r>
          </w:p>
        </w:tc>
        <w:tc>
          <w:tcPr>
            <w:tcW w:w="0" w:type="dxa"/>
            <w:vAlign w:val="bottom"/>
          </w:tcPr>
          <w:p>
            <w:pPr>
              <w:spacing w:after="0"/>
              <w:rPr>
                <w:sz w:val="1"/>
                <w:szCs w:val="1"/>
                <w:color w:val="auto"/>
              </w:rPr>
            </w:pPr>
          </w:p>
        </w:tc>
      </w:tr>
      <w:tr>
        <w:trPr>
          <w:trHeight w:val="201"/>
        </w:trPr>
        <w:tc>
          <w:tcPr>
            <w:tcW w:w="322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83"/>
        </w:trPr>
        <w:tc>
          <w:tcPr>
            <w:tcW w:w="3220" w:type="dxa"/>
            <w:vAlign w:val="bottom"/>
          </w:tcPr>
          <w:p>
            <w:pPr>
              <w:spacing w:after="0" w:line="183" w:lineRule="exact"/>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38,849</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44,090</w:t>
            </w:r>
          </w:p>
        </w:tc>
        <w:tc>
          <w:tcPr>
            <w:tcW w:w="1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(5,241)</w:t>
            </w:r>
          </w:p>
        </w:tc>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444,722</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453,966</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(9,244)</w:t>
            </w:r>
          </w:p>
        </w:tc>
        <w:tc>
          <w:tcPr>
            <w:tcW w:w="1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ind w:left="80" w:hanging="72"/>
        <w:spacing w:after="0" w:line="229" w:lineRule="auto"/>
        <w:tabs>
          <w:tab w:leader="none" w:pos="80"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Includes 100% share of consolidated joint ventures that are a Same Property.</w:t>
      </w:r>
    </w:p>
    <w:p>
      <w:pPr>
        <w:ind w:left="80" w:hanging="72"/>
        <w:spacing w:after="0" w:line="222" w:lineRule="auto"/>
        <w:tabs>
          <w:tab w:leader="none" w:pos="80" w:val="left"/>
        </w:tabs>
        <w:numPr>
          <w:ilvl w:val="0"/>
          <w:numId w:val="27"/>
        </w:numPr>
        <w:rPr>
          <w:rFonts w:ascii="Arial" w:cs="Arial" w:eastAsia="Arial" w:hAnsi="Arial"/>
          <w:sz w:val="19"/>
          <w:szCs w:val="19"/>
          <w:color w:val="auto"/>
          <w:vertAlign w:val="superscript"/>
        </w:rPr>
      </w:pPr>
      <w:r>
        <w:rPr>
          <w:rFonts w:ascii="Arial" w:cs="Arial" w:eastAsia="Arial" w:hAnsi="Arial"/>
          <w:sz w:val="13"/>
          <w:szCs w:val="13"/>
          <w:color w:val="auto"/>
        </w:rPr>
        <w:t>See the Definitions and Reconciliations sections of this Supplemental package starting on page 57.</w:t>
      </w:r>
    </w:p>
    <w:p>
      <w:pPr>
        <w:spacing w:after="0" w:line="23" w:lineRule="exact"/>
        <w:rPr>
          <w:sz w:val="20"/>
          <w:szCs w:val="20"/>
          <w:color w:val="auto"/>
        </w:rPr>
      </w:pPr>
    </w:p>
    <w:p>
      <w:pPr>
        <w:ind w:left="80" w:right="80" w:hanging="72"/>
        <w:spacing w:after="0" w:line="221" w:lineRule="auto"/>
        <w:tabs>
          <w:tab w:leader="none" w:pos="78" w:val="left"/>
        </w:tabs>
        <w:numPr>
          <w:ilvl w:val="0"/>
          <w:numId w:val="28"/>
        </w:numPr>
        <w:rPr>
          <w:rFonts w:ascii="Arial" w:cs="Arial" w:eastAsia="Arial" w:hAnsi="Arial"/>
          <w:sz w:val="18"/>
          <w:szCs w:val="18"/>
          <w:color w:val="auto"/>
          <w:vertAlign w:val="superscript"/>
        </w:rPr>
      </w:pPr>
      <w:r>
        <w:rPr>
          <w:rFonts w:ascii="Arial" w:cs="Arial" w:eastAsia="Arial" w:hAnsi="Arial"/>
          <w:sz w:val="13"/>
          <w:szCs w:val="13"/>
          <w:color w:val="auto"/>
        </w:rPr>
        <w:t>For a quantitative reconciliation of net income (loss) attributable to BXP, Inc. to net operating income (NOI) (excluding termination income) and NOI - cash (excluding termination income), see pages 9-10.</w:t>
      </w:r>
    </w:p>
    <w:p>
      <w:pPr>
        <w:sectPr>
          <w:pgSz w:w="11900" w:h="16838" w:orient="portrait"/>
          <w:cols w:equalWidth="0" w:num="1">
            <w:col w:w="11240"/>
          </w:cols>
          <w:pgMar w:left="320" w:top="279" w:right="339" w:bottom="1440" w:gutter="0" w:footer="0" w:header="0"/>
        </w:sectPr>
      </w:pPr>
    </w:p>
    <w:p>
      <w:pPr>
        <w:spacing w:after="0" w:line="206"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40"/>
          </w:cols>
          <w:pgMar w:left="320" w:top="279" w:right="339" w:bottom="1440" w:gutter="0" w:footer="0" w:header="0"/>
          <w:type w:val="continuous"/>
        </w:sectPr>
      </w:pPr>
    </w:p>
    <w:bookmarkStart w:id="19" w:name="page20"/>
    <w:bookmarkEnd w:id="19"/>
    <w:p>
      <w:pPr>
        <w:jc w:val="right"/>
        <w:ind w:right="6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-69850</wp:posOffset>
            </wp:positionV>
            <wp:extent cx="25717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497F"/>
        </w:rPr>
        <w:t>Same property net operating income (NOI) by reportable segment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80" w:right="160" w:hanging="72"/>
        <w:spacing w:after="0" w:line="227" w:lineRule="auto"/>
        <w:tabs>
          <w:tab w:leader="none" w:pos="78" w:val="left"/>
        </w:tabs>
        <w:numPr>
          <w:ilvl w:val="0"/>
          <w:numId w:val="29"/>
        </w:numPr>
        <w:rPr>
          <w:rFonts w:ascii="Arial" w:cs="Arial" w:eastAsia="Arial" w:hAnsi="Arial"/>
          <w:sz w:val="18"/>
          <w:szCs w:val="18"/>
          <w:color w:val="auto"/>
          <w:vertAlign w:val="superscript"/>
        </w:rPr>
      </w:pPr>
      <w:r>
        <w:rPr>
          <w:rFonts w:ascii="Arial" w:cs="Arial" w:eastAsia="Arial" w:hAnsi="Arial"/>
          <w:sz w:val="13"/>
          <w:szCs w:val="13"/>
          <w:color w:val="auto"/>
        </w:rPr>
        <w:t>Consist of lease transaction costs that qualify as rent inducements in accordance with GAAP. Lease transaction costs are generally included in 2nd generation tenant improvements and leasing commissions in the Company’s FAD calculation on page 8.</w:t>
      </w:r>
    </w:p>
    <w:p>
      <w:pPr>
        <w:spacing w:after="0" w:line="14" w:lineRule="exact"/>
        <w:rPr>
          <w:sz w:val="20"/>
          <w:szCs w:val="20"/>
          <w:color w:val="auto"/>
        </w:rPr>
      </w:pPr>
    </w:p>
    <w:p>
      <w:pPr>
        <w:ind w:left="80" w:right="360" w:hanging="72"/>
        <w:spacing w:after="0" w:line="227" w:lineRule="auto"/>
        <w:tabs>
          <w:tab w:leader="none" w:pos="78" w:val="left"/>
        </w:tabs>
        <w:numPr>
          <w:ilvl w:val="0"/>
          <w:numId w:val="30"/>
        </w:numPr>
        <w:rPr>
          <w:rFonts w:ascii="Arial" w:cs="Arial" w:eastAsia="Arial" w:hAnsi="Arial"/>
          <w:sz w:val="18"/>
          <w:szCs w:val="18"/>
          <w:color w:val="auto"/>
          <w:vertAlign w:val="superscript"/>
        </w:rPr>
      </w:pPr>
      <w:r>
        <w:rPr>
          <w:rFonts w:ascii="Arial" w:cs="Arial" w:eastAsia="Arial" w:hAnsi="Arial"/>
          <w:sz w:val="13"/>
          <w:szCs w:val="13"/>
          <w:color w:val="auto"/>
        </w:rPr>
        <w:t>Excludes the straight-line impact of approximately $(44) and $135 for the three months ended September 30, 2024 and 2023, respectively, in connection with the Company’s 99-year ground and air rights lease at 100 Clarendon Street garage and Back Bay Transit Station.</w:t>
      </w:r>
    </w:p>
    <w:p>
      <w:pPr>
        <w:ind w:left="80" w:hanging="72"/>
        <w:spacing w:after="0" w:line="223" w:lineRule="auto"/>
        <w:tabs>
          <w:tab w:leader="none" w:pos="80" w:val="left"/>
        </w:tabs>
        <w:numPr>
          <w:ilvl w:val="0"/>
          <w:numId w:val="31"/>
        </w:numPr>
        <w:rPr>
          <w:rFonts w:ascii="Arial" w:cs="Arial" w:eastAsia="Arial" w:hAnsi="Arial"/>
          <w:sz w:val="19"/>
          <w:szCs w:val="19"/>
          <w:color w:val="auto"/>
          <w:vertAlign w:val="superscript"/>
        </w:rPr>
      </w:pPr>
      <w:r>
        <w:rPr>
          <w:rFonts w:ascii="Arial" w:cs="Arial" w:eastAsia="Arial" w:hAnsi="Arial"/>
          <w:sz w:val="13"/>
          <w:szCs w:val="13"/>
          <w:color w:val="auto"/>
        </w:rPr>
        <w:t>BXP’s Share equals (A) + (B) - (C).</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279" w:right="339" w:bottom="1440" w:gutter="0" w:footer="0" w:header="0"/>
        </w:sectPr>
      </w:pPr>
    </w:p>
    <w:bookmarkStart w:id="20" w:name="page21"/>
    <w:bookmarkEnd w:id="20"/>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Capital expenditures, tenant improvement costs and leasing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PSF amounts)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30-Sep-24</w:t>
            </w:r>
          </w:p>
        </w:tc>
        <w:tc>
          <w:tcPr>
            <w:tcW w:w="1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30-Jun-24</w:t>
            </w:r>
          </w:p>
        </w:tc>
      </w:tr>
      <w:tr>
        <w:trPr>
          <w:trHeight w:val="190"/>
        </w:trPr>
        <w:tc>
          <w:tcPr>
            <w:tcW w:w="8740" w:type="dxa"/>
            <w:vAlign w:val="bottom"/>
          </w:tcPr>
          <w:p>
            <w:pPr>
              <w:ind w:left="20"/>
              <w:spacing w:after="0"/>
              <w:rPr>
                <w:sz w:val="20"/>
                <w:szCs w:val="20"/>
                <w:color w:val="auto"/>
              </w:rPr>
            </w:pPr>
            <w:r>
              <w:rPr>
                <w:rFonts w:ascii="Arial" w:cs="Arial" w:eastAsia="Arial" w:hAnsi="Arial"/>
                <w:sz w:val="14"/>
                <w:szCs w:val="14"/>
                <w:color w:val="auto"/>
              </w:rPr>
              <w:t>Maintenance capital expenditures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21,481</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16,218</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Planned capital expenditures associated with acquisition properties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680</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Repositioning capital expenditures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18,434</w:t>
            </w:r>
          </w:p>
        </w:tc>
      </w:tr>
      <w:tr>
        <w:trPr>
          <w:trHeight w:val="204"/>
        </w:trPr>
        <w:tc>
          <w:tcPr>
            <w:tcW w:w="8740" w:type="dxa"/>
            <w:vAlign w:val="bottom"/>
          </w:tcPr>
          <w:p>
            <w:pPr>
              <w:ind w:left="20"/>
              <w:spacing w:after="0"/>
              <w:rPr>
                <w:sz w:val="20"/>
                <w:szCs w:val="20"/>
                <w:color w:val="auto"/>
              </w:rPr>
            </w:pPr>
            <w:r>
              <w:rPr>
                <w:rFonts w:ascii="Arial" w:cs="Arial" w:eastAsia="Arial" w:hAnsi="Arial"/>
                <w:sz w:val="14"/>
                <w:szCs w:val="14"/>
                <w:color w:val="auto"/>
              </w:rPr>
              <w:t>Hotel improvements, equipment upgrades and replacements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94"/>
        </w:trPr>
        <w:tc>
          <w:tcPr>
            <w:tcW w:w="8740" w:type="dxa"/>
            <w:vAlign w:val="bottom"/>
          </w:tcPr>
          <w:p>
            <w:pPr>
              <w:ind w:left="22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42,864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35,444</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BXP’s share of maintenance capital expenditures from unconsolidated joint ventures (JVs)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BXP’s share of planned capital expenditures associated with acquisition properties from unconsolidated JVs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1,416</w:t>
            </w: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BXP’s share of repositioning capital expenditures from unconsolidated JVs</w:t>
            </w: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Partners’ share of maintenance capital expenditures from consolidated JVs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1,821</w:t>
            </w: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Partners’ share of planned capital expenditures associated with acquisition properties from consolidated JVs</w:t>
            </w: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740" w:type="dxa"/>
            <w:vAlign w:val="bottom"/>
          </w:tcPr>
          <w:p>
            <w:pPr>
              <w:ind w:left="220"/>
              <w:spacing w:after="0"/>
              <w:rPr>
                <w:sz w:val="20"/>
                <w:szCs w:val="20"/>
                <w:color w:val="auto"/>
              </w:rPr>
            </w:pPr>
            <w:r>
              <w:rPr>
                <w:rFonts w:ascii="Arial" w:cs="Arial" w:eastAsia="Arial" w:hAnsi="Arial"/>
                <w:sz w:val="14"/>
                <w:szCs w:val="14"/>
                <w:color w:val="auto"/>
              </w:rPr>
              <w:t>Partners’ share of repositioning capital expenditures from consolidated JVs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200"/>
        </w:trPr>
        <w:tc>
          <w:tcPr>
            <w:tcW w:w="8740" w:type="dxa"/>
            <w:vAlign w:val="bottom"/>
          </w:tcPr>
          <w:p>
            <w:pPr>
              <w:ind w:left="20"/>
              <w:spacing w:after="0"/>
              <w:rPr>
                <w:sz w:val="20"/>
                <w:szCs w:val="20"/>
                <w:color w:val="auto"/>
              </w:rPr>
            </w:pPr>
            <w:r>
              <w:rPr>
                <w:rFonts w:ascii="Arial" w:cs="Arial" w:eastAsia="Arial" w:hAnsi="Arial"/>
                <w:sz w:val="14"/>
                <w:szCs w:val="14"/>
                <w:color w:val="auto"/>
              </w:rPr>
              <w:t xml:space="preserve">BXP’s Share of Capital Expenditures </w:t>
            </w:r>
            <w:r>
              <w:rPr>
                <w:rFonts w:ascii="Arial" w:cs="Arial" w:eastAsia="Arial" w:hAnsi="Arial"/>
                <w:sz w:val="9"/>
                <w:szCs w:val="9"/>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34,963</w:t>
            </w:r>
          </w:p>
        </w:tc>
      </w:tr>
      <w:tr>
        <w:trPr>
          <w:trHeight w:val="20"/>
        </w:trPr>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2nd GENERATION TENANT IMPROVEMENTS AND LEASING COMMISSIONS </w:t>
      </w:r>
      <w:r>
        <w:rPr>
          <w:rFonts w:ascii="Arial" w:cs="Arial" w:eastAsia="Arial" w:hAnsi="Arial"/>
          <w:sz w:val="18"/>
          <w:szCs w:val="18"/>
          <w:b w:val="1"/>
          <w:bCs w:val="1"/>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18415</wp:posOffset>
            </wp:positionV>
            <wp:extent cx="15862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 w:lineRule="exact"/>
        <w:rPr>
          <w:sz w:val="20"/>
          <w:szCs w:val="20"/>
          <w:color w:val="auto"/>
        </w:rPr>
      </w:pPr>
    </w:p>
    <w:p>
      <w:pPr>
        <w:ind w:left="8980"/>
        <w:spacing w:after="0"/>
        <w:tabs>
          <w:tab w:leader="none" w:pos="10320" w:val="left"/>
        </w:tabs>
        <w:rPr>
          <w:sz w:val="20"/>
          <w:szCs w:val="20"/>
          <w:color w:val="auto"/>
        </w:rPr>
      </w:pPr>
      <w:r>
        <w:rPr>
          <w:rFonts w:ascii="Arial" w:cs="Arial" w:eastAsia="Arial" w:hAnsi="Arial"/>
          <w:sz w:val="14"/>
          <w:szCs w:val="14"/>
          <w:b w:val="1"/>
          <w:bCs w:val="1"/>
          <w:color w:val="auto"/>
        </w:rPr>
        <w:t>30-Sep-24</w:t>
      </w:r>
      <w:r>
        <w:rPr>
          <w:sz w:val="20"/>
          <w:szCs w:val="20"/>
          <w:color w:val="auto"/>
        </w:rPr>
        <w:tab/>
      </w:r>
      <w:r>
        <w:rPr>
          <w:rFonts w:ascii="Arial" w:cs="Arial" w:eastAsia="Arial" w:hAnsi="Arial"/>
          <w:sz w:val="14"/>
          <w:szCs w:val="14"/>
          <w:b w:val="1"/>
          <w:bCs w:val="1"/>
          <w:color w:val="auto"/>
        </w:rPr>
        <w:t>30-Jun-24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720" w:type="dxa"/>
            <w:vAlign w:val="bottom"/>
          </w:tcPr>
          <w:p>
            <w:pPr>
              <w:spacing w:after="0"/>
              <w:rPr>
                <w:sz w:val="20"/>
                <w:szCs w:val="20"/>
                <w:color w:val="auto"/>
              </w:rPr>
            </w:pPr>
            <w:r>
              <w:rPr>
                <w:rFonts w:ascii="Arial" w:cs="Arial" w:eastAsia="Arial" w:hAnsi="Arial"/>
                <w:sz w:val="14"/>
                <w:szCs w:val="14"/>
                <w:color w:val="auto"/>
              </w:rPr>
              <w:t>Square feet</w:t>
            </w: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1,190,695</w:t>
            </w:r>
          </w:p>
        </w:tc>
        <w:tc>
          <w:tcPr>
            <w:tcW w:w="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602,960</w:t>
            </w:r>
          </w:p>
        </w:tc>
      </w:tr>
      <w:tr>
        <w:trPr>
          <w:trHeight w:val="198"/>
        </w:trPr>
        <w:tc>
          <w:tcPr>
            <w:tcW w:w="8720" w:type="dxa"/>
            <w:vAlign w:val="bottom"/>
          </w:tcPr>
          <w:p>
            <w:pPr>
              <w:spacing w:after="0"/>
              <w:rPr>
                <w:sz w:val="20"/>
                <w:szCs w:val="20"/>
                <w:color w:val="auto"/>
              </w:rPr>
            </w:pPr>
            <w:r>
              <w:rPr>
                <w:rFonts w:ascii="Arial" w:cs="Arial" w:eastAsia="Arial" w:hAnsi="Arial"/>
                <w:sz w:val="14"/>
                <w:szCs w:val="14"/>
                <w:color w:val="auto"/>
              </w:rPr>
              <w:t>Tenant improvements and lease commissions PSF</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74.93</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36" w:lineRule="exact"/>
        <w:rPr>
          <w:sz w:val="20"/>
          <w:szCs w:val="20"/>
          <w:color w:val="auto"/>
        </w:rPr>
      </w:pPr>
    </w:p>
    <w:p>
      <w:pPr>
        <w:ind w:left="80" w:hanging="72"/>
        <w:spacing w:after="0"/>
        <w:tabs>
          <w:tab w:leader="none" w:pos="80" w:val="left"/>
        </w:tabs>
        <w:numPr>
          <w:ilvl w:val="0"/>
          <w:numId w:val="32"/>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100% of unconsolidated joint ventures.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265" w:right="339" w:bottom="1440" w:gutter="0" w:footer="0" w:header="0"/>
          <w:type w:val="continuous"/>
        </w:sectPr>
      </w:pPr>
    </w:p>
    <w:bookmarkStart w:id="21" w:name="page22"/>
    <w:bookmarkEnd w:id="2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period from January 1, 2024 through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Investment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Location</w:t>
            </w:r>
          </w:p>
        </w:tc>
        <w:tc>
          <w:tcPr>
            <w:tcW w:w="14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Date Acquired</w:t>
            </w:r>
          </w:p>
        </w:tc>
        <w:tc>
          <w:tcPr>
            <w:tcW w:w="140" w:type="dxa"/>
            <w:vAlign w:val="bottom"/>
            <w:vMerge w:val="restart"/>
          </w:tcPr>
          <w:p>
            <w:pPr>
              <w:spacing w:after="0"/>
              <w:rPr>
                <w:sz w:val="12"/>
                <w:szCs w:val="12"/>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Square Feet</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1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rPr>
              <w:t>Anticipated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In-service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tcBorders>
              <w:bottom w:val="single" w:sz="8" w:color="auto"/>
            </w:tcBorders>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Future</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Leased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60" w:type="dxa"/>
            <w:vAlign w:val="bottom"/>
            <w:gridSpan w:val="3"/>
          </w:tcPr>
          <w:p>
            <w:pPr>
              <w:ind w:left="20"/>
              <w:spacing w:after="0"/>
              <w:rPr>
                <w:sz w:val="20"/>
                <w:szCs w:val="20"/>
                <w:color w:val="auto"/>
              </w:rPr>
            </w:pPr>
            <w:r>
              <w:rPr>
                <w:rFonts w:ascii="Arial" w:cs="Arial" w:eastAsia="Arial" w:hAnsi="Arial"/>
                <w:sz w:val="14"/>
                <w:szCs w:val="14"/>
                <w:color w:val="auto"/>
              </w:rPr>
              <w:t xml:space="preserve">901 New York Avenue </w:t>
            </w:r>
            <w:r>
              <w:rPr>
                <w:rFonts w:ascii="Arial" w:cs="Arial" w:eastAsia="Arial" w:hAnsi="Arial"/>
                <w:sz w:val="9"/>
                <w:szCs w:val="9"/>
                <w:color w:val="auto"/>
              </w:rPr>
              <w:t>1</w:t>
            </w:r>
          </w:p>
        </w:tc>
        <w:tc>
          <w:tcPr>
            <w:tcW w:w="1460" w:type="dxa"/>
            <w:vAlign w:val="bottom"/>
            <w:gridSpan w:val="4"/>
          </w:tcPr>
          <w:p>
            <w:pPr>
              <w:ind w:left="20"/>
              <w:spacing w:after="0"/>
              <w:rPr>
                <w:sz w:val="20"/>
                <w:szCs w:val="20"/>
                <w:color w:val="auto"/>
              </w:rPr>
            </w:pPr>
            <w:r>
              <w:rPr>
                <w:rFonts w:ascii="Arial" w:cs="Arial" w:eastAsia="Arial" w:hAnsi="Arial"/>
                <w:sz w:val="14"/>
                <w:szCs w:val="14"/>
                <w:color w:val="auto"/>
              </w:rPr>
              <w:t>Washington, DC</w:t>
            </w:r>
          </w:p>
        </w:tc>
        <w:tc>
          <w:tcPr>
            <w:tcW w:w="1600" w:type="dxa"/>
            <w:vAlign w:val="bottom"/>
            <w:gridSpan w:val="3"/>
          </w:tcPr>
          <w:p>
            <w:pPr>
              <w:ind w:left="20"/>
              <w:spacing w:after="0"/>
              <w:rPr>
                <w:sz w:val="20"/>
                <w:szCs w:val="20"/>
                <w:color w:val="auto"/>
              </w:rPr>
            </w:pPr>
            <w:r>
              <w:rPr>
                <w:rFonts w:ascii="Arial" w:cs="Arial" w:eastAsia="Arial" w:hAnsi="Arial"/>
                <w:sz w:val="14"/>
                <w:szCs w:val="14"/>
                <w:color w:val="auto"/>
              </w:rPr>
              <w:t>January 8, 2024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509,088</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25,000</w:t>
            </w:r>
          </w:p>
        </w:tc>
        <w:tc>
          <w:tcPr>
            <w:tcW w:w="16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35,000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83.9 %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rPr>
              <w:t>DISPOSITIONS</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Location</w:t>
            </w:r>
          </w:p>
        </w:tc>
        <w:tc>
          <w:tcPr>
            <w:tcW w:w="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Date Disposed</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Square Feet</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Sales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Cash</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rPr>
              <w:t>Book Gain</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Proceeds</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9"/>
                <w:szCs w:val="9"/>
                <w:b w:val="1"/>
                <w:bCs w:val="1"/>
                <w:color w:val="auto"/>
              </w:rPr>
              <w:t>3</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290 Binney Street (45%</w:t>
            </w:r>
          </w:p>
        </w:tc>
        <w:tc>
          <w:tcPr>
            <w:tcW w:w="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color w:val="auto"/>
              </w:rPr>
              <w:t>Cambridge, MA</w:t>
            </w:r>
          </w:p>
        </w:tc>
        <w:tc>
          <w:tcPr>
            <w:tcW w:w="10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March 21, 2024</w:t>
            </w: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566,000</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   1,079,687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141,822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ind w:left="820"/>
              <w:spacing w:after="0"/>
              <w:rPr>
                <w:sz w:val="20"/>
                <w:szCs w:val="20"/>
                <w:color w:val="auto"/>
              </w:rPr>
            </w:pPr>
            <w:r>
              <w:rPr>
                <w:rFonts w:ascii="Arial" w:cs="Arial" w:eastAsia="Arial" w:hAnsi="Arial"/>
                <w:sz w:val="14"/>
                <w:szCs w:val="14"/>
                <w:color w:val="auto"/>
              </w:rPr>
              <w:t>N/A</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60" w:type="dxa"/>
            <w:vAlign w:val="bottom"/>
            <w:gridSpan w:val="3"/>
          </w:tcPr>
          <w:p>
            <w:pPr>
              <w:ind w:left="180"/>
              <w:spacing w:after="0"/>
              <w:rPr>
                <w:sz w:val="20"/>
                <w:szCs w:val="20"/>
                <w:color w:val="auto"/>
              </w:rPr>
            </w:pPr>
            <w:r>
              <w:rPr>
                <w:rFonts w:ascii="Arial" w:cs="Arial" w:eastAsia="Arial" w:hAnsi="Arial"/>
                <w:sz w:val="14"/>
                <w:szCs w:val="14"/>
                <w:color w:val="auto"/>
              </w:rPr>
              <w:t xml:space="preserve">ownership) </w:t>
            </w:r>
            <w:r>
              <w:rPr>
                <w:rFonts w:ascii="Arial" w:cs="Arial" w:eastAsia="Arial" w:hAnsi="Arial"/>
                <w:sz w:val="9"/>
                <w:szCs w:val="9"/>
                <w:color w:val="auto"/>
              </w:rPr>
              <w:t>2</w:t>
            </w:r>
          </w:p>
        </w:tc>
        <w:tc>
          <w:tcPr>
            <w:tcW w:w="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36" w:lineRule="exact"/>
        <w:rPr>
          <w:sz w:val="20"/>
          <w:szCs w:val="20"/>
          <w:color w:val="auto"/>
        </w:rPr>
      </w:pPr>
    </w:p>
    <w:p>
      <w:pPr>
        <w:ind w:left="80" w:right="120" w:hanging="72"/>
        <w:spacing w:after="0" w:line="268" w:lineRule="auto"/>
        <w:tabs>
          <w:tab w:leader="none" w:pos="77" w:val="left"/>
        </w:tabs>
        <w:numPr>
          <w:ilvl w:val="0"/>
          <w:numId w:val="33"/>
        </w:numPr>
        <w:rPr>
          <w:rFonts w:ascii="Arial" w:cs="Arial" w:eastAsia="Arial" w:hAnsi="Arial"/>
          <w:sz w:val="9"/>
          <w:szCs w:val="9"/>
          <w:color w:val="auto"/>
        </w:rPr>
      </w:pPr>
      <w:r>
        <w:rPr>
          <w:rFonts w:ascii="Arial" w:cs="Arial" w:eastAsia="Arial" w:hAnsi="Arial"/>
          <w:sz w:val="14"/>
          <w:szCs w:val="14"/>
          <w:color w:val="auto"/>
        </w:rPr>
        <w:t>The Company completed the acquisition of its joint venture partner’s 50% economic ownership interest. The property is encumbered by an approximately $207.1 million mortgage, which bears interest at 3.61% per annum and matures on January 5, 2025. Following the acquisition, the Company modified the mortgage loan to among other things provide for two loan extension options totaling five years of additional term, each subject to certain conditions. The first loan extension option provides for a term of four years at a fixed interest rate of 5.0% per annum. In addition, following the acquisition, BXP extended the 214,000 square foot lease with anchor client, Finnegan Henderson Farabow Garrett &amp; Dunner, L.L.P., through 2042 and agreed to complete approximately $25.0 million of building enhancements.</w:t>
      </w:r>
    </w:p>
    <w:p>
      <w:pPr>
        <w:spacing w:after="0" w:line="6" w:lineRule="exact"/>
        <w:rPr>
          <w:sz w:val="20"/>
          <w:szCs w:val="20"/>
          <w:color w:val="auto"/>
        </w:rPr>
      </w:pPr>
    </w:p>
    <w:p>
      <w:pPr>
        <w:ind w:left="80" w:right="40" w:hanging="72"/>
        <w:spacing w:after="0" w:line="251" w:lineRule="auto"/>
        <w:tabs>
          <w:tab w:leader="none" w:pos="77"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The Company completed the previously announced sale of a 45% ownership interest to Norges Bank Investment Management (“NBIM”). NBIM’s investment in 290 Binney Street will reduce the Company’s share of the project’s estimated development spend over time by approximately $533.5 million, see page 15. At closing, NBIM paid approximately $142 million, of which $97 million was a special distribution to the Company and represented pre-formation costs, and NBIM will fund all capital calls until reaching 45% of invested capital. The Company retains a 55% ownership interest and provides development, property management, and leasing services for the venture. This transaction did not qualify as a sale of real estate for financial reporting purposes as the Company continues to effectively control the property and thus will continue to account for the property on a consolidated basis in its financial statements.</w:t>
      </w:r>
    </w:p>
    <w:p>
      <w:pPr>
        <w:spacing w:after="0" w:line="8" w:lineRule="exact"/>
        <w:rPr>
          <w:sz w:val="20"/>
          <w:szCs w:val="20"/>
          <w:color w:val="auto"/>
        </w:rPr>
      </w:pPr>
    </w:p>
    <w:p>
      <w:pPr>
        <w:ind w:left="80" w:right="1300" w:hanging="72"/>
        <w:spacing w:after="0" w:line="305" w:lineRule="auto"/>
        <w:tabs>
          <w:tab w:leader="none" w:pos="77" w:val="left"/>
        </w:tabs>
        <w:numPr>
          <w:ilvl w:val="0"/>
          <w:numId w:val="35"/>
        </w:numPr>
        <w:rPr>
          <w:rFonts w:ascii="Arial" w:cs="Arial" w:eastAsia="Arial" w:hAnsi="Arial"/>
          <w:sz w:val="9"/>
          <w:szCs w:val="9"/>
          <w:color w:val="auto"/>
        </w:rPr>
      </w:pPr>
      <w:r>
        <w:rPr>
          <w:rFonts w:ascii="Arial" w:cs="Arial" w:eastAsia="Arial" w:hAnsi="Arial"/>
          <w:sz w:val="14"/>
          <w:szCs w:val="14"/>
          <w:color w:val="auto"/>
        </w:rPr>
        <w:t>Excludes approximately $0.5 million of gains on sales of real estate recognized during the nine months ended September 30, 2024 related to gain amounts from sales of real estate occurring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279" w:right="33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CONSTRUCTION IN PROGRESS </w:t>
      </w:r>
      <w:r>
        <w:rPr>
          <w:rFonts w:ascii="Arial" w:cs="Arial" w:eastAsia="Arial" w:hAnsi="Arial"/>
          <w:sz w:val="9"/>
          <w:szCs w:val="9"/>
          <w:b w:val="1"/>
          <w:bCs w:val="1"/>
          <w:i w:val="1"/>
          <w:iCs w:val="1"/>
          <w:color w:val="auto"/>
        </w:rPr>
        <w:t>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Actual/Estimated</w:t>
            </w: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4"/>
              </w:rPr>
              <w:t>BXP’s share</w:t>
            </w: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39"/>
              <w:spacing w:after="0" w:line="114"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Estimated</w:t>
            </w:r>
          </w:p>
        </w:tc>
        <w:tc>
          <w:tcPr>
            <w:tcW w:w="940" w:type="dxa"/>
            <w:vAlign w:val="bottom"/>
            <w:gridSpan w:val="2"/>
          </w:tcPr>
          <w:p>
            <w:pPr>
              <w:jc w:val="center"/>
              <w:ind w:right="99"/>
              <w:spacing w:after="0"/>
              <w:rPr>
                <w:sz w:val="20"/>
                <w:szCs w:val="20"/>
                <w:color w:val="auto"/>
              </w:rPr>
            </w:pPr>
            <w:r>
              <w:rPr>
                <w:rFonts w:ascii="Arial" w:cs="Arial" w:eastAsia="Arial" w:hAnsi="Arial"/>
                <w:sz w:val="13"/>
                <w:szCs w:val="13"/>
                <w:b w:val="1"/>
                <w:bCs w:val="1"/>
                <w:color w:val="auto"/>
                <w:w w:val="96"/>
              </w:rPr>
              <w:t>Percentage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Operating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5"/>
                <w:szCs w:val="5"/>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8"/>
              </w:rPr>
              <w:t>Future</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5"/>
                <w:szCs w:val="5"/>
                <w:color w:val="auto"/>
              </w:rPr>
            </w:pPr>
          </w:p>
        </w:tc>
        <w:tc>
          <w:tcPr>
            <w:tcW w:w="620" w:type="dxa"/>
            <w:vAlign w:val="bottom"/>
          </w:tcPr>
          <w:p>
            <w:pPr>
              <w:jc w:val="center"/>
              <w:ind w:right="39"/>
              <w:spacing w:after="0" w:line="68" w:lineRule="exact"/>
              <w:rPr>
                <w:sz w:val="20"/>
                <w:szCs w:val="20"/>
                <w:color w:val="auto"/>
              </w:rPr>
            </w:pPr>
            <w:r>
              <w:rPr>
                <w:rFonts w:ascii="Arial" w:cs="Arial" w:eastAsia="Arial" w:hAnsi="Arial"/>
                <w:sz w:val="7"/>
                <w:szCs w:val="7"/>
                <w:b w:val="1"/>
                <w:bCs w:val="1"/>
                <w:color w:val="auto"/>
              </w:rPr>
              <w:t>Income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rPr>
              <w:t xml:space="preserve">(Loss) </w:t>
            </w:r>
            <w:r>
              <w:rPr>
                <w:rFonts w:ascii="Arial" w:cs="Arial" w:eastAsia="Arial" w:hAnsi="Arial"/>
                <w:sz w:val="14"/>
                <w:szCs w:val="14"/>
                <w:b w:val="1"/>
                <w:bCs w:val="1"/>
                <w:color w:val="auto"/>
                <w:vertAlign w:val="superscript"/>
              </w:rPr>
              <w:t>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gridSpan w:val="4"/>
            <w:vMerge w:val="restart"/>
          </w:tcPr>
          <w:p>
            <w:pPr>
              <w:spacing w:after="0" w:line="135" w:lineRule="exact"/>
              <w:rPr>
                <w:sz w:val="20"/>
                <w:szCs w:val="20"/>
                <w:color w:val="auto"/>
              </w:rPr>
            </w:pPr>
            <w:r>
              <w:rPr>
                <w:rFonts w:ascii="Arial" w:cs="Arial" w:eastAsia="Arial" w:hAnsi="Arial"/>
                <w:sz w:val="13"/>
                <w:szCs w:val="13"/>
                <w:b w:val="1"/>
                <w:bCs w:val="1"/>
                <w:color w:val="auto"/>
              </w:rPr>
              <w:t>Construction</w:t>
            </w:r>
          </w:p>
        </w:tc>
        <w:tc>
          <w:tcPr>
            <w:tcW w:w="80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Initial</w:t>
            </w:r>
          </w:p>
        </w:tc>
        <w:tc>
          <w:tcPr>
            <w:tcW w:w="86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Stabilization</w:t>
            </w: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Square</w:t>
            </w:r>
          </w:p>
        </w:tc>
        <w:tc>
          <w:tcPr>
            <w:tcW w:w="820" w:type="dxa"/>
            <w:vAlign w:val="bottom"/>
            <w:gridSpan w:val="4"/>
            <w:vMerge w:val="restart"/>
          </w:tcPr>
          <w:p>
            <w:pPr>
              <w:ind w:left="2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4"/>
                <w:szCs w:val="4"/>
                <w:color w:val="auto"/>
              </w:rPr>
            </w:pPr>
          </w:p>
        </w:tc>
        <w:tc>
          <w:tcPr>
            <w:tcW w:w="640" w:type="dxa"/>
            <w:vAlign w:val="bottom"/>
          </w:tcPr>
          <w:p>
            <w:pPr>
              <w:jc w:val="center"/>
              <w:ind w:right="40"/>
              <w:spacing w:after="0" w:line="54" w:lineRule="exact"/>
              <w:rPr>
                <w:sz w:val="20"/>
                <w:szCs w:val="20"/>
                <w:color w:val="auto"/>
              </w:rPr>
            </w:pPr>
            <w:r>
              <w:rPr>
                <w:rFonts w:ascii="Arial" w:cs="Arial" w:eastAsia="Arial" w:hAnsi="Arial"/>
                <w:sz w:val="6"/>
                <w:szCs w:val="6"/>
                <w:b w:val="1"/>
                <w:bCs w:val="1"/>
                <w:color w:val="auto"/>
              </w:rPr>
              <w:t>Total</w:t>
            </w:r>
          </w:p>
        </w:tc>
        <w:tc>
          <w:tcPr>
            <w:tcW w:w="100" w:type="dxa"/>
            <w:vAlign w:val="bottom"/>
          </w:tcPr>
          <w:p>
            <w:pPr>
              <w:spacing w:after="0"/>
              <w:rPr>
                <w:sz w:val="4"/>
                <w:szCs w:val="4"/>
                <w:color w:val="auto"/>
              </w:rPr>
            </w:pPr>
          </w:p>
        </w:tc>
        <w:tc>
          <w:tcPr>
            <w:tcW w:w="7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Total</w:t>
            </w:r>
          </w:p>
        </w:tc>
        <w:tc>
          <w:tcPr>
            <w:tcW w:w="74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Drawn at</w:t>
            </w:r>
          </w:p>
        </w:tc>
        <w:tc>
          <w:tcPr>
            <w:tcW w:w="100" w:type="dxa"/>
            <w:vAlign w:val="bottom"/>
          </w:tcPr>
          <w:p>
            <w:pPr>
              <w:spacing w:after="0"/>
              <w:rPr>
                <w:sz w:val="4"/>
                <w:szCs w:val="4"/>
                <w:color w:val="auto"/>
              </w:rPr>
            </w:pPr>
          </w:p>
        </w:tc>
        <w:tc>
          <w:tcPr>
            <w:tcW w:w="82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Equity</w:t>
            </w: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placed in-</w:t>
            </w:r>
          </w:p>
        </w:tc>
        <w:tc>
          <w:tcPr>
            <w:tcW w:w="100" w:type="dxa"/>
            <w:vAlign w:val="bottom"/>
          </w:tcPr>
          <w:p>
            <w:pPr>
              <w:spacing w:after="0"/>
              <w:rPr>
                <w:sz w:val="4"/>
                <w:szCs w:val="4"/>
                <w:color w:val="auto"/>
              </w:rPr>
            </w:pPr>
          </w:p>
        </w:tc>
        <w:tc>
          <w:tcPr>
            <w:tcW w:w="620" w:type="dxa"/>
            <w:vAlign w:val="bottom"/>
            <w:vMerge w:val="restart"/>
          </w:tcPr>
          <w:p>
            <w:pPr>
              <w:jc w:val="center"/>
              <w:ind w:right="39"/>
              <w:spacing w:after="0" w:line="135" w:lineRule="exact"/>
              <w:rPr>
                <w:sz w:val="20"/>
                <w:szCs w:val="20"/>
                <w:color w:val="auto"/>
              </w:rPr>
            </w:pPr>
            <w:r>
              <w:rPr>
                <w:rFonts w:ascii="Arial" w:cs="Arial" w:eastAsia="Arial" w:hAnsi="Arial"/>
                <w:sz w:val="13"/>
                <w:szCs w:val="13"/>
                <w:b w:val="1"/>
                <w:bCs w:val="1"/>
                <w:color w:val="auto"/>
                <w:w w:val="95"/>
              </w:rPr>
              <w:t>(BXP’s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00" w:type="dxa"/>
            <w:vAlign w:val="bottom"/>
            <w:gridSpan w:val="4"/>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760" w:type="dxa"/>
            <w:vAlign w:val="bottom"/>
            <w:gridSpan w:val="2"/>
            <w:vMerge w:val="restart"/>
          </w:tcPr>
          <w:p>
            <w:pPr>
              <w:jc w:val="center"/>
              <w:spacing w:after="0" w:line="122" w:lineRule="exact"/>
              <w:rPr>
                <w:sz w:val="20"/>
                <w:szCs w:val="20"/>
                <w:color w:val="auto"/>
              </w:rPr>
            </w:pPr>
            <w:r>
              <w:rPr>
                <w:rFonts w:ascii="Arial" w:cs="Arial" w:eastAsia="Arial" w:hAnsi="Arial"/>
                <w:sz w:val="13"/>
                <w:szCs w:val="13"/>
                <w:b w:val="1"/>
                <w:bCs w:val="1"/>
                <w:color w:val="auto"/>
                <w:w w:val="96"/>
              </w:rPr>
              <w:t>Investment</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gridSpan w:val="3"/>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Requirement</w:t>
            </w: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Properties</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Occupancy</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9"/>
              </w:rPr>
              <w:t>Date</w:t>
            </w: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3"/>
                <w:szCs w:val="3"/>
                <w:color w:val="auto"/>
              </w:rPr>
            </w:pPr>
          </w:p>
        </w:tc>
        <w:tc>
          <w:tcPr>
            <w:tcW w:w="460" w:type="dxa"/>
            <w:vAlign w:val="bottom"/>
            <w:vMerge w:val="restart"/>
          </w:tcPr>
          <w:p>
            <w:pPr>
              <w:spacing w:after="0"/>
              <w:rPr>
                <w:sz w:val="20"/>
                <w:szCs w:val="20"/>
                <w:color w:val="auto"/>
              </w:rPr>
            </w:pPr>
            <w:r>
              <w:rPr>
                <w:rFonts w:ascii="Arial" w:cs="Arial" w:eastAsia="Arial" w:hAnsi="Arial"/>
                <w:sz w:val="13"/>
                <w:szCs w:val="13"/>
                <w:b w:val="1"/>
                <w:bCs w:val="1"/>
                <w:color w:val="auto"/>
                <w:w w:val="99"/>
              </w:rPr>
              <w:t>to Date</w:t>
            </w:r>
          </w:p>
        </w:tc>
        <w:tc>
          <w:tcPr>
            <w:tcW w:w="180" w:type="dxa"/>
            <w:vAlign w:val="bottom"/>
          </w:tcPr>
          <w:p>
            <w:pPr>
              <w:jc w:val="right"/>
              <w:ind w:right="100"/>
              <w:spacing w:after="0" w:line="41" w:lineRule="exact"/>
              <w:rPr>
                <w:sz w:val="20"/>
                <w:szCs w:val="20"/>
                <w:color w:val="auto"/>
              </w:rPr>
            </w:pPr>
            <w:r>
              <w:rPr>
                <w:rFonts w:ascii="Arial" w:cs="Arial" w:eastAsia="Arial" w:hAnsi="Arial"/>
                <w:sz w:val="4"/>
                <w:szCs w:val="4"/>
                <w:b w:val="1"/>
                <w:bCs w:val="1"/>
                <w:color w:val="auto"/>
              </w:rPr>
              <w:t>2</w:t>
            </w: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Financing</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9/30/2024</w:t>
            </w:r>
          </w:p>
        </w:tc>
        <w:tc>
          <w:tcPr>
            <w:tcW w:w="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940" w:type="dxa"/>
            <w:vAlign w:val="bottom"/>
            <w:gridSpan w:val="2"/>
            <w:vMerge w:val="restart"/>
          </w:tcPr>
          <w:p>
            <w:pPr>
              <w:jc w:val="center"/>
              <w:ind w:right="99"/>
              <w:spacing w:after="0" w:line="175" w:lineRule="exact"/>
              <w:rPr>
                <w:sz w:val="20"/>
                <w:szCs w:val="20"/>
                <w:color w:val="auto"/>
              </w:rPr>
            </w:pPr>
            <w:r>
              <w:rPr>
                <w:rFonts w:ascii="Arial" w:cs="Arial" w:eastAsia="Arial" w:hAnsi="Arial"/>
                <w:sz w:val="13"/>
                <w:szCs w:val="13"/>
                <w:b w:val="1"/>
                <w:bCs w:val="1"/>
                <w:color w:val="auto"/>
                <w:w w:val="95"/>
              </w:rPr>
              <w:t xml:space="preserve">Leased </w:t>
            </w:r>
            <w:r>
              <w:rPr>
                <w:rFonts w:ascii="Arial" w:cs="Arial" w:eastAsia="Arial" w:hAnsi="Arial"/>
                <w:sz w:val="16"/>
                <w:szCs w:val="16"/>
                <w:b w:val="1"/>
                <w:bCs w:val="1"/>
                <w:color w:val="auto"/>
                <w:w w:val="95"/>
                <w:vertAlign w:val="superscript"/>
              </w:rPr>
              <w:t>3</w:t>
            </w:r>
          </w:p>
        </w:tc>
        <w:tc>
          <w:tcPr>
            <w:tcW w:w="920" w:type="dxa"/>
            <w:vAlign w:val="bottom"/>
            <w:gridSpan w:val="2"/>
            <w:vMerge w:val="restart"/>
          </w:tcPr>
          <w:p>
            <w:pPr>
              <w:jc w:val="center"/>
              <w:ind w:right="100"/>
              <w:spacing w:after="0" w:line="175" w:lineRule="exact"/>
              <w:rPr>
                <w:sz w:val="20"/>
                <w:szCs w:val="20"/>
                <w:color w:val="auto"/>
              </w:rPr>
            </w:pPr>
            <w:r>
              <w:rPr>
                <w:rFonts w:ascii="Arial" w:cs="Arial" w:eastAsia="Arial" w:hAnsi="Arial"/>
                <w:sz w:val="13"/>
                <w:szCs w:val="13"/>
                <w:b w:val="1"/>
                <w:bCs w:val="1"/>
                <w:color w:val="auto"/>
                <w:w w:val="91"/>
              </w:rPr>
              <w:t xml:space="preserve">service </w:t>
            </w:r>
            <w:r>
              <w:rPr>
                <w:rFonts w:ascii="Arial" w:cs="Arial" w:eastAsia="Arial" w:hAnsi="Arial"/>
                <w:sz w:val="16"/>
                <w:szCs w:val="16"/>
                <w:b w:val="1"/>
                <w:bCs w:val="1"/>
                <w:color w:val="auto"/>
                <w:w w:val="91"/>
                <w:vertAlign w:val="superscript"/>
              </w:rPr>
              <w:t>4</w:t>
            </w:r>
          </w:p>
        </w:tc>
        <w:tc>
          <w:tcPr>
            <w:tcW w:w="100" w:type="dxa"/>
            <w:vAlign w:val="bottom"/>
          </w:tcPr>
          <w:p>
            <w:pPr>
              <w:spacing w:after="0"/>
              <w:rPr>
                <w:sz w:val="3"/>
                <w:szCs w:val="3"/>
                <w:color w:val="auto"/>
              </w:rPr>
            </w:pPr>
          </w:p>
        </w:tc>
        <w:tc>
          <w:tcPr>
            <w:tcW w:w="620" w:type="dxa"/>
            <w:vAlign w:val="bottom"/>
            <w:vMerge w:val="restart"/>
          </w:tcPr>
          <w:p>
            <w:pPr>
              <w:jc w:val="center"/>
              <w:ind w:right="19"/>
              <w:spacing w:after="0"/>
              <w:rPr>
                <w:sz w:val="20"/>
                <w:szCs w:val="20"/>
                <w:color w:val="auto"/>
              </w:rPr>
            </w:pPr>
            <w:r>
              <w:rPr>
                <w:rFonts w:ascii="Arial" w:cs="Arial" w:eastAsia="Arial" w:hAnsi="Arial"/>
                <w:sz w:val="13"/>
                <w:szCs w:val="13"/>
                <w:b w:val="1"/>
                <w:bCs w:val="1"/>
                <w:color w:val="auto"/>
                <w:w w:val="97"/>
              </w:rPr>
              <w:t>share)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60"/>
              <w:spacing w:after="0"/>
              <w:rPr>
                <w:sz w:val="20"/>
                <w:szCs w:val="20"/>
                <w:color w:val="auto"/>
              </w:rPr>
            </w:pPr>
            <w:r>
              <w:rPr>
                <w:rFonts w:ascii="Arial" w:cs="Arial" w:eastAsia="Arial" w:hAnsi="Arial"/>
                <w:sz w:val="8"/>
                <w:szCs w:val="8"/>
                <w:b w:val="1"/>
                <w:bCs w:val="1"/>
                <w:color w:val="auto"/>
                <w:w w:val="88"/>
              </w:rPr>
              <w:t>2</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0"/>
              <w:spacing w:after="0"/>
              <w:rPr>
                <w:sz w:val="20"/>
                <w:szCs w:val="20"/>
                <w:color w:val="auto"/>
              </w:rPr>
            </w:pPr>
            <w:r>
              <w:rPr>
                <w:rFonts w:ascii="Arial" w:cs="Arial" w:eastAsia="Arial" w:hAnsi="Arial"/>
                <w:sz w:val="8"/>
                <w:szCs w:val="8"/>
                <w:b w:val="1"/>
                <w:bCs w:val="1"/>
                <w:color w:val="auto"/>
                <w:w w:val="88"/>
              </w:rPr>
              <w:t>2</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0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rPr>
              <w:t>Office</w:t>
            </w: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color w:val="auto"/>
              </w:rPr>
              <w:t>360 Park Avenue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New York,</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gridSpan w:val="4"/>
          </w:tcPr>
          <w:p>
            <w:pPr>
              <w:ind w:left="240"/>
              <w:spacing w:after="0" w:line="126" w:lineRule="exact"/>
              <w:rPr>
                <w:sz w:val="20"/>
                <w:szCs w:val="20"/>
                <w:color w:val="auto"/>
              </w:rPr>
            </w:pPr>
            <w:r>
              <w:rPr>
                <w:rFonts w:ascii="Arial" w:cs="Arial" w:eastAsia="Arial" w:hAnsi="Arial"/>
                <w:sz w:val="13"/>
                <w:szCs w:val="13"/>
                <w:color w:val="auto"/>
              </w:rPr>
              <w:t>South (71%</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6"/>
              </w:rPr>
              <w:t>Q4 2024</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Q4 2026</w:t>
            </w:r>
          </w:p>
        </w:tc>
        <w:tc>
          <w:tcPr>
            <w:tcW w:w="820" w:type="dxa"/>
            <w:vAlign w:val="bottom"/>
            <w:gridSpan w:val="2"/>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450,000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352,530</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418,300</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$ 156,470</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$ 156,470</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65,770</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23 %</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gridSpan w:val="4"/>
          </w:tcPr>
          <w:p>
            <w:pPr>
              <w:ind w:left="240"/>
              <w:spacing w:after="0"/>
              <w:rPr>
                <w:sz w:val="20"/>
                <w:szCs w:val="20"/>
                <w:color w:val="auto"/>
              </w:rPr>
            </w:pPr>
            <w:r>
              <w:rPr>
                <w:rFonts w:ascii="Arial" w:cs="Arial" w:eastAsia="Arial" w:hAnsi="Arial"/>
                <w:sz w:val="13"/>
                <w:szCs w:val="13"/>
                <w:color w:val="auto"/>
              </w:rPr>
              <w:t>ownership)</w:t>
            </w: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NY</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00" w:type="dxa"/>
            <w:vAlign w:val="bottom"/>
            <w:gridSpan w:val="4"/>
          </w:tcPr>
          <w:p>
            <w:pPr>
              <w:ind w:left="80"/>
              <w:spacing w:after="0" w:line="140" w:lineRule="exact"/>
              <w:rPr>
                <w:sz w:val="20"/>
                <w:szCs w:val="20"/>
                <w:color w:val="auto"/>
              </w:rPr>
            </w:pPr>
            <w:r>
              <w:rPr>
                <w:rFonts w:ascii="Arial" w:cs="Arial" w:eastAsia="Arial" w:hAnsi="Arial"/>
                <w:sz w:val="13"/>
                <w:szCs w:val="13"/>
                <w:color w:val="auto"/>
              </w:rPr>
              <w:t>Reston Next Office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4"/>
          </w:tcPr>
          <w:p>
            <w:pPr>
              <w:ind w:left="240"/>
              <w:spacing w:after="0"/>
              <w:rPr>
                <w:sz w:val="20"/>
                <w:szCs w:val="20"/>
                <w:color w:val="auto"/>
              </w:rPr>
            </w:pPr>
            <w:r>
              <w:rPr>
                <w:rFonts w:ascii="Arial" w:cs="Arial" w:eastAsia="Arial" w:hAnsi="Arial"/>
                <w:sz w:val="13"/>
                <w:szCs w:val="13"/>
                <w:color w:val="auto"/>
              </w:rPr>
              <w:t>Phase II</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Q1 2025</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Q2 2026</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40" w:type="dxa"/>
            <w:vAlign w:val="bottom"/>
          </w:tcPr>
          <w:p>
            <w:pPr>
              <w:jc w:val="right"/>
              <w:spacing w:after="0"/>
              <w:rPr>
                <w:sz w:val="20"/>
                <w:szCs w:val="20"/>
                <w:color w:val="auto"/>
              </w:rPr>
            </w:pPr>
            <w:r>
              <w:rPr>
                <w:rFonts w:ascii="Arial" w:cs="Arial" w:eastAsia="Arial" w:hAnsi="Arial"/>
                <w:sz w:val="13"/>
                <w:szCs w:val="13"/>
                <w:color w:val="auto"/>
              </w:rPr>
              <w:t>90,000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44,207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61,000</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16,793</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7"/>
          </w:tcPr>
          <w:p>
            <w:pPr>
              <w:ind w:left="80"/>
              <w:spacing w:after="0"/>
              <w:rPr>
                <w:sz w:val="20"/>
                <w:szCs w:val="20"/>
                <w:color w:val="auto"/>
              </w:rPr>
            </w:pPr>
            <w:r>
              <w:rPr>
                <w:rFonts w:ascii="Arial" w:cs="Arial" w:eastAsia="Arial" w:hAnsi="Arial"/>
                <w:sz w:val="13"/>
                <w:szCs w:val="13"/>
                <w:b w:val="1"/>
                <w:bCs w:val="1"/>
                <w:color w:val="auto"/>
                <w:w w:val="95"/>
              </w:rPr>
              <w:t>Total Office Properties under Construction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540,000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396,737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479,300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156,470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82,563</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20 %</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00" w:type="dxa"/>
            <w:vAlign w:val="bottom"/>
            <w:gridSpan w:val="4"/>
          </w:tcPr>
          <w:p>
            <w:pPr>
              <w:spacing w:after="0"/>
              <w:rPr>
                <w:sz w:val="20"/>
                <w:szCs w:val="20"/>
                <w:color w:val="auto"/>
              </w:rPr>
            </w:pPr>
            <w:r>
              <w:rPr>
                <w:rFonts w:ascii="Arial" w:cs="Arial" w:eastAsia="Arial" w:hAnsi="Arial"/>
                <w:sz w:val="13"/>
                <w:szCs w:val="13"/>
                <w:b w:val="1"/>
                <w:bCs w:val="1"/>
                <w:color w:val="auto"/>
              </w:rPr>
              <w:t>Lab/Life Sciences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Waltham,</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color w:val="auto"/>
              </w:rPr>
              <w:t>103 CityPoint</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Q4 2025</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Q4 2026</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40" w:type="dxa"/>
            <w:vAlign w:val="bottom"/>
          </w:tcPr>
          <w:p>
            <w:pPr>
              <w:jc w:val="right"/>
              <w:spacing w:after="0"/>
              <w:rPr>
                <w:sz w:val="20"/>
                <w:szCs w:val="20"/>
                <w:color w:val="auto"/>
              </w:rPr>
            </w:pPr>
            <w:r>
              <w:rPr>
                <w:rFonts w:ascii="Arial" w:cs="Arial" w:eastAsia="Arial" w:hAnsi="Arial"/>
                <w:sz w:val="13"/>
                <w:szCs w:val="13"/>
                <w:color w:val="auto"/>
              </w:rPr>
              <w:t>113,000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91,682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115,100</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23,418</w:t>
            </w:r>
          </w:p>
        </w:tc>
        <w:tc>
          <w:tcPr>
            <w:tcW w:w="100" w:type="dxa"/>
            <w:vAlign w:val="bottom"/>
          </w:tcPr>
          <w:p>
            <w:pPr>
              <w:spacing w:after="0"/>
              <w:rPr>
                <w:sz w:val="14"/>
                <w:szCs w:val="14"/>
                <w:color w:val="auto"/>
              </w:rPr>
            </w:pPr>
          </w:p>
        </w:tc>
        <w:tc>
          <w:tcPr>
            <w:tcW w:w="940" w:type="dxa"/>
            <w:vAlign w:val="bottom"/>
            <w:gridSpan w:val="2"/>
          </w:tcPr>
          <w:p>
            <w:pPr>
              <w:jc w:val="right"/>
              <w:ind w:right="99"/>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00" w:type="dxa"/>
            <w:vAlign w:val="bottom"/>
            <w:gridSpan w:val="4"/>
          </w:tcPr>
          <w:p>
            <w:pPr>
              <w:ind w:left="80"/>
              <w:spacing w:after="0" w:line="144" w:lineRule="exact"/>
              <w:rPr>
                <w:sz w:val="20"/>
                <w:szCs w:val="20"/>
                <w:color w:val="auto"/>
              </w:rPr>
            </w:pPr>
            <w:r>
              <w:rPr>
                <w:rFonts w:ascii="Arial" w:cs="Arial" w:eastAsia="Arial" w:hAnsi="Arial"/>
                <w:sz w:val="13"/>
                <w:szCs w:val="13"/>
                <w:color w:val="auto"/>
              </w:rPr>
              <w:t>300 Binney Street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Cambridge,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gridSpan w:val="4"/>
          </w:tcPr>
          <w:p>
            <w:pPr>
              <w:ind w:left="240"/>
              <w:spacing w:after="0" w:line="126" w:lineRule="exact"/>
              <w:rPr>
                <w:sz w:val="20"/>
                <w:szCs w:val="20"/>
                <w:color w:val="auto"/>
              </w:rPr>
            </w:pPr>
            <w:r>
              <w:rPr>
                <w:rFonts w:ascii="Arial" w:cs="Arial" w:eastAsia="Arial" w:hAnsi="Arial"/>
                <w:sz w:val="13"/>
                <w:szCs w:val="13"/>
                <w:color w:val="auto"/>
              </w:rPr>
              <w:t>(Redevelopment)</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6"/>
              </w:rPr>
              <w:t>Q4 2024</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Q4 2024</w:t>
            </w:r>
          </w:p>
        </w:tc>
        <w:tc>
          <w:tcPr>
            <w:tcW w:w="820" w:type="dxa"/>
            <w:vAlign w:val="bottom"/>
            <w:gridSpan w:val="2"/>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56,357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112,900</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56,543</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gridSpan w:val="4"/>
          </w:tcPr>
          <w:p>
            <w:pPr>
              <w:ind w:left="240"/>
              <w:spacing w:after="0" w:line="171" w:lineRule="exact"/>
              <w:rPr>
                <w:sz w:val="20"/>
                <w:szCs w:val="20"/>
                <w:color w:val="auto"/>
              </w:rPr>
            </w:pPr>
            <w:r>
              <w:rPr>
                <w:rFonts w:ascii="Arial" w:cs="Arial" w:eastAsia="Arial" w:hAnsi="Arial"/>
                <w:sz w:val="13"/>
                <w:szCs w:val="13"/>
                <w:color w:val="auto"/>
                <w:w w:val="97"/>
              </w:rPr>
              <w:t xml:space="preserve">(55% ownership) </w:t>
            </w:r>
            <w:r>
              <w:rPr>
                <w:rFonts w:ascii="Arial" w:cs="Arial" w:eastAsia="Arial" w:hAnsi="Arial"/>
                <w:sz w:val="16"/>
                <w:szCs w:val="16"/>
                <w:color w:val="auto"/>
                <w:w w:val="97"/>
                <w:vertAlign w:val="superscript"/>
              </w:rPr>
              <w:t>6</w:t>
            </w: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3"/>
                <w:szCs w:val="13"/>
                <w:color w:val="auto"/>
              </w:rPr>
              <w:t>651 Gateway (50%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South San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6"/>
              </w:rPr>
              <w:t>Q1 2024</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Q3 2026</w:t>
            </w:r>
          </w:p>
        </w:tc>
        <w:tc>
          <w:tcPr>
            <w:tcW w:w="82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Francisco,</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327,000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130,506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167,100</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36,594</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21 %</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gridSpan w:val="4"/>
          </w:tcPr>
          <w:p>
            <w:pPr>
              <w:ind w:left="240"/>
              <w:spacing w:after="0"/>
              <w:rPr>
                <w:sz w:val="20"/>
                <w:szCs w:val="20"/>
                <w:color w:val="auto"/>
              </w:rPr>
            </w:pPr>
            <w:r>
              <w:rPr>
                <w:rFonts w:ascii="Arial" w:cs="Arial" w:eastAsia="Arial" w:hAnsi="Arial"/>
                <w:sz w:val="13"/>
                <w:szCs w:val="13"/>
                <w:color w:val="auto"/>
              </w:rPr>
              <w:t>ownership)</w:t>
            </w: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CA</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gridSpan w:val="4"/>
          </w:tcPr>
          <w:p>
            <w:pPr>
              <w:ind w:left="80"/>
              <w:spacing w:after="0" w:line="131" w:lineRule="exact"/>
              <w:rPr>
                <w:sz w:val="20"/>
                <w:szCs w:val="20"/>
                <w:color w:val="auto"/>
              </w:rPr>
            </w:pPr>
            <w:r>
              <w:rPr>
                <w:rFonts w:ascii="Arial" w:cs="Arial" w:eastAsia="Arial" w:hAnsi="Arial"/>
                <w:sz w:val="13"/>
                <w:szCs w:val="13"/>
                <w:color w:val="auto"/>
              </w:rPr>
              <w:t>290 Binney Street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Cambridge,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4"/>
          </w:tcPr>
          <w:p>
            <w:pPr>
              <w:ind w:left="240"/>
              <w:spacing w:after="0"/>
              <w:rPr>
                <w:sz w:val="20"/>
                <w:szCs w:val="20"/>
                <w:color w:val="auto"/>
              </w:rPr>
            </w:pPr>
            <w:r>
              <w:rPr>
                <w:rFonts w:ascii="Arial" w:cs="Arial" w:eastAsia="Arial" w:hAnsi="Arial"/>
                <w:sz w:val="13"/>
                <w:szCs w:val="13"/>
                <w:color w:val="auto"/>
                <w:w w:val="97"/>
              </w:rPr>
              <w:t xml:space="preserve">(55% ownership) </w:t>
            </w:r>
            <w:r>
              <w:rPr>
                <w:rFonts w:ascii="Arial" w:cs="Arial" w:eastAsia="Arial" w:hAnsi="Arial"/>
                <w:sz w:val="16"/>
                <w:szCs w:val="16"/>
                <w:color w:val="auto"/>
                <w:w w:val="97"/>
                <w:vertAlign w:val="superscript"/>
              </w:rPr>
              <w:t>7</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Q2 2026</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Q2 2026</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40" w:type="dxa"/>
            <w:vAlign w:val="bottom"/>
          </w:tcPr>
          <w:p>
            <w:pPr>
              <w:jc w:val="right"/>
              <w:spacing w:after="0"/>
              <w:rPr>
                <w:sz w:val="20"/>
                <w:szCs w:val="20"/>
                <w:color w:val="auto"/>
              </w:rPr>
            </w:pPr>
            <w:r>
              <w:rPr>
                <w:rFonts w:ascii="Arial" w:cs="Arial" w:eastAsia="Arial" w:hAnsi="Arial"/>
                <w:sz w:val="13"/>
                <w:szCs w:val="13"/>
                <w:color w:val="auto"/>
              </w:rPr>
              <w:t>573,000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209,483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508,000</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298,517</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100 %</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9"/>
          </w:tcPr>
          <w:p>
            <w:pPr>
              <w:ind w:left="80"/>
              <w:spacing w:after="0"/>
              <w:rPr>
                <w:sz w:val="20"/>
                <w:szCs w:val="20"/>
                <w:color w:val="auto"/>
              </w:rPr>
            </w:pPr>
            <w:r>
              <w:rPr>
                <w:rFonts w:ascii="Arial" w:cs="Arial" w:eastAsia="Arial" w:hAnsi="Arial"/>
                <w:sz w:val="13"/>
                <w:szCs w:val="13"/>
                <w:b w:val="1"/>
                <w:bCs w:val="1"/>
                <w:color w:val="auto"/>
                <w:w w:val="99"/>
              </w:rPr>
              <w:t>Total Lab/Life Sciences Properties under Construction</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1,249,000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488,028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903,100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415,072</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70 %</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5"/>
              </w:rPr>
              <w:t>Residential</w:t>
            </w:r>
          </w:p>
        </w:tc>
        <w:tc>
          <w:tcPr>
            <w:tcW w:w="6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color w:val="auto"/>
              </w:rPr>
              <w:t>Skymark - Reston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gridSpan w:val="4"/>
          </w:tcPr>
          <w:p>
            <w:pPr>
              <w:ind w:left="240"/>
              <w:spacing w:after="0" w:line="126" w:lineRule="exact"/>
              <w:rPr>
                <w:sz w:val="20"/>
                <w:szCs w:val="20"/>
                <w:color w:val="auto"/>
              </w:rPr>
            </w:pPr>
            <w:r>
              <w:rPr>
                <w:rFonts w:ascii="Arial" w:cs="Arial" w:eastAsia="Arial" w:hAnsi="Arial"/>
                <w:sz w:val="13"/>
                <w:szCs w:val="13"/>
                <w:color w:val="auto"/>
              </w:rPr>
              <w:t>Next Residential</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gridSpan w:val="4"/>
          </w:tcPr>
          <w:p>
            <w:pPr>
              <w:ind w:left="240"/>
              <w:spacing w:after="0" w:line="122" w:lineRule="exact"/>
              <w:rPr>
                <w:sz w:val="20"/>
                <w:szCs w:val="20"/>
                <w:color w:val="auto"/>
              </w:rPr>
            </w:pPr>
            <w:r>
              <w:rPr>
                <w:rFonts w:ascii="Arial" w:cs="Arial" w:eastAsia="Arial" w:hAnsi="Arial"/>
                <w:sz w:val="13"/>
                <w:szCs w:val="13"/>
                <w:color w:val="auto"/>
              </w:rPr>
              <w:t>(508 units) (20%</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6"/>
              </w:rPr>
              <w:t>Q3 2024</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Q2 2026</w:t>
            </w: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417,000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42,192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47,700</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28,000</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24,934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2,442</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35 %</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42 %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00" w:type="dxa"/>
            <w:vAlign w:val="bottom"/>
            <w:gridSpan w:val="4"/>
          </w:tcPr>
          <w:p>
            <w:pPr>
              <w:ind w:left="240"/>
              <w:spacing w:after="0"/>
              <w:rPr>
                <w:sz w:val="20"/>
                <w:szCs w:val="20"/>
                <w:color w:val="auto"/>
              </w:rPr>
            </w:pPr>
            <w:r>
              <w:rPr>
                <w:rFonts w:ascii="Arial" w:cs="Arial" w:eastAsia="Arial" w:hAnsi="Arial"/>
                <w:sz w:val="13"/>
                <w:szCs w:val="13"/>
                <w:color w:val="auto"/>
              </w:rPr>
              <w:t>ownership)</w:t>
            </w: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00" w:type="dxa"/>
            <w:vAlign w:val="bottom"/>
            <w:gridSpan w:val="4"/>
          </w:tcPr>
          <w:p>
            <w:pPr>
              <w:ind w:left="80"/>
              <w:spacing w:after="0" w:line="140" w:lineRule="exact"/>
              <w:rPr>
                <w:sz w:val="20"/>
                <w:szCs w:val="20"/>
                <w:color w:val="auto"/>
              </w:rPr>
            </w:pPr>
            <w:r>
              <w:rPr>
                <w:rFonts w:ascii="Arial" w:cs="Arial" w:eastAsia="Arial" w:hAnsi="Arial"/>
                <w:sz w:val="13"/>
                <w:szCs w:val="13"/>
                <w:color w:val="auto"/>
                <w:w w:val="98"/>
              </w:rPr>
              <w:t>121 Broadway Street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0" w:lineRule="exact"/>
              <w:rPr>
                <w:sz w:val="20"/>
                <w:szCs w:val="20"/>
                <w:color w:val="auto"/>
              </w:rPr>
            </w:pPr>
            <w:r>
              <w:rPr>
                <w:rFonts w:ascii="Arial" w:cs="Arial" w:eastAsia="Arial" w:hAnsi="Arial"/>
                <w:sz w:val="13"/>
                <w:szCs w:val="13"/>
                <w:color w:val="auto"/>
              </w:rPr>
              <w:t>Cambridge,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4"/>
          </w:tcPr>
          <w:p>
            <w:pPr>
              <w:ind w:left="240"/>
              <w:spacing w:after="0"/>
              <w:rPr>
                <w:sz w:val="20"/>
                <w:szCs w:val="20"/>
                <w:color w:val="auto"/>
              </w:rPr>
            </w:pPr>
            <w:r>
              <w:rPr>
                <w:rFonts w:ascii="Arial" w:cs="Arial" w:eastAsia="Arial" w:hAnsi="Arial"/>
                <w:sz w:val="13"/>
                <w:szCs w:val="13"/>
                <w:color w:val="auto"/>
              </w:rPr>
              <w:t>(439 units)</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Q3 2027</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Q2 2029</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40" w:type="dxa"/>
            <w:vAlign w:val="bottom"/>
          </w:tcPr>
          <w:p>
            <w:pPr>
              <w:jc w:val="right"/>
              <w:spacing w:after="0"/>
              <w:rPr>
                <w:sz w:val="20"/>
                <w:szCs w:val="20"/>
                <w:color w:val="auto"/>
              </w:rPr>
            </w:pPr>
            <w:r>
              <w:rPr>
                <w:rFonts w:ascii="Arial" w:cs="Arial" w:eastAsia="Arial" w:hAnsi="Arial"/>
                <w:sz w:val="13"/>
                <w:szCs w:val="13"/>
                <w:color w:val="auto"/>
              </w:rPr>
              <w:t>492,000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78,889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597,800</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518,911</w:t>
            </w:r>
          </w:p>
        </w:tc>
        <w:tc>
          <w:tcPr>
            <w:tcW w:w="100" w:type="dxa"/>
            <w:vAlign w:val="bottom"/>
          </w:tcPr>
          <w:p>
            <w:pPr>
              <w:spacing w:after="0"/>
              <w:rPr>
                <w:sz w:val="15"/>
                <w:szCs w:val="15"/>
                <w:color w:val="auto"/>
              </w:rPr>
            </w:pPr>
          </w:p>
        </w:tc>
        <w:tc>
          <w:tcPr>
            <w:tcW w:w="940" w:type="dxa"/>
            <w:vAlign w:val="bottom"/>
            <w:gridSpan w:val="2"/>
          </w:tcPr>
          <w:p>
            <w:pPr>
              <w:jc w:val="right"/>
              <w:ind w:right="99"/>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9"/>
          </w:tcPr>
          <w:p>
            <w:pPr>
              <w:ind w:left="80"/>
              <w:spacing w:after="0"/>
              <w:rPr>
                <w:sz w:val="20"/>
                <w:szCs w:val="20"/>
                <w:color w:val="auto"/>
              </w:rPr>
            </w:pPr>
            <w:r>
              <w:rPr>
                <w:rFonts w:ascii="Arial" w:cs="Arial" w:eastAsia="Arial" w:hAnsi="Arial"/>
                <w:sz w:val="13"/>
                <w:szCs w:val="13"/>
                <w:b w:val="1"/>
                <w:bCs w:val="1"/>
                <w:color w:val="auto"/>
              </w:rPr>
              <w:t>Total Residential Properties under Construction</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909,000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121,081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645,500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28,000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24,934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521,353</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16 %</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00" w:type="dxa"/>
            <w:vAlign w:val="bottom"/>
            <w:gridSpan w:val="4"/>
          </w:tcPr>
          <w:p>
            <w:pPr>
              <w:spacing w:after="0" w:line="122" w:lineRule="exact"/>
              <w:rPr>
                <w:sz w:val="20"/>
                <w:szCs w:val="20"/>
                <w:color w:val="auto"/>
              </w:rPr>
            </w:pPr>
            <w:r>
              <w:rPr>
                <w:rFonts w:ascii="Arial" w:cs="Arial" w:eastAsia="Arial" w:hAnsi="Arial"/>
                <w:sz w:val="13"/>
                <w:szCs w:val="13"/>
                <w:b w:val="1"/>
                <w:bCs w:val="1"/>
                <w:color w:val="auto"/>
              </w:rPr>
              <w:t>Retail</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color w:val="auto"/>
              </w:rPr>
              <w:t>Reston Next Retail</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Q4 2025</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Q4 2025</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40" w:type="dxa"/>
            <w:vAlign w:val="bottom"/>
          </w:tcPr>
          <w:p>
            <w:pPr>
              <w:jc w:val="right"/>
              <w:spacing w:after="0"/>
              <w:rPr>
                <w:sz w:val="20"/>
                <w:szCs w:val="20"/>
                <w:color w:val="auto"/>
              </w:rPr>
            </w:pPr>
            <w:r>
              <w:rPr>
                <w:rFonts w:ascii="Arial" w:cs="Arial" w:eastAsia="Arial" w:hAnsi="Arial"/>
                <w:sz w:val="13"/>
                <w:szCs w:val="13"/>
                <w:color w:val="auto"/>
              </w:rPr>
              <w:t>33,000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23,259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26,600</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13 %</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7"/>
          </w:tcPr>
          <w:p>
            <w:pPr>
              <w:ind w:left="80"/>
              <w:spacing w:after="0"/>
              <w:rPr>
                <w:sz w:val="20"/>
                <w:szCs w:val="20"/>
                <w:color w:val="auto"/>
              </w:rPr>
            </w:pPr>
            <w:r>
              <w:rPr>
                <w:rFonts w:ascii="Arial" w:cs="Arial" w:eastAsia="Arial" w:hAnsi="Arial"/>
                <w:sz w:val="13"/>
                <w:szCs w:val="13"/>
                <w:b w:val="1"/>
                <w:bCs w:val="1"/>
                <w:color w:val="auto"/>
                <w:w w:val="96"/>
              </w:rPr>
              <w:t>Total Retail Properties under Construction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33,000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23,259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26,600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3,341</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gridSpan w:val="8"/>
          </w:tcPr>
          <w:p>
            <w:pPr>
              <w:spacing w:after="0"/>
              <w:rPr>
                <w:sz w:val="20"/>
                <w:szCs w:val="20"/>
                <w:color w:val="auto"/>
              </w:rPr>
            </w:pPr>
            <w:r>
              <w:rPr>
                <w:rFonts w:ascii="Arial" w:cs="Arial" w:eastAsia="Arial" w:hAnsi="Arial"/>
                <w:sz w:val="13"/>
                <w:szCs w:val="13"/>
                <w:b w:val="1"/>
                <w:bCs w:val="1"/>
                <w:color w:val="auto"/>
              </w:rPr>
              <w:t>Total Properties Under Construction</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2,731,000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96"/>
              </w:rPr>
              <w:t>1,029,105</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2,054,500</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$ 184,470</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$ 181,404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1,022,329</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54 %</w:t>
            </w:r>
          </w:p>
        </w:tc>
        <w:tc>
          <w:tcPr>
            <w:tcW w:w="120" w:type="dxa"/>
            <w:vAlign w:val="bottom"/>
          </w:tcPr>
          <w:p>
            <w:pPr>
              <w:jc w:val="right"/>
              <w:ind w:right="19"/>
              <w:spacing w:after="0"/>
              <w:rPr>
                <w:sz w:val="20"/>
                <w:szCs w:val="20"/>
                <w:color w:val="auto"/>
              </w:rPr>
            </w:pPr>
            <w:r>
              <w:rPr>
                <w:rFonts w:ascii="Arial" w:cs="Arial" w:eastAsia="Arial" w:hAnsi="Arial"/>
                <w:sz w:val="8"/>
                <w:szCs w:val="8"/>
                <w:color w:val="auto"/>
                <w:w w:val="88"/>
              </w:rPr>
              <w:t>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PROJECTS FULLY PLACED IN-SERVICE DURING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Actual/Estimated</w:t>
            </w: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BXP’s share</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20"/>
              <w:spacing w:after="0" w:line="105" w:lineRule="exact"/>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Estimated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Estimated</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Percentage</w:t>
            </w:r>
          </w:p>
        </w:tc>
        <w:tc>
          <w:tcPr>
            <w:tcW w:w="120" w:type="dxa"/>
            <w:vAlign w:val="bottom"/>
          </w:tcPr>
          <w:p>
            <w:pPr>
              <w:spacing w:after="0"/>
              <w:rPr>
                <w:sz w:val="10"/>
                <w:szCs w:val="10"/>
                <w:color w:val="auto"/>
              </w:rPr>
            </w:pPr>
          </w:p>
        </w:tc>
        <w:tc>
          <w:tcPr>
            <w:tcW w:w="720" w:type="dxa"/>
            <w:vAlign w:val="bottom"/>
            <w:gridSpan w:val="2"/>
          </w:tcPr>
          <w:p>
            <w:pPr>
              <w:jc w:val="center"/>
              <w:ind w:right="74"/>
              <w:spacing w:after="0" w:line="122" w:lineRule="exact"/>
              <w:rPr>
                <w:sz w:val="20"/>
                <w:szCs w:val="20"/>
                <w:color w:val="auto"/>
              </w:rPr>
            </w:pPr>
            <w:r>
              <w:rPr>
                <w:rFonts w:ascii="Arial" w:cs="Arial" w:eastAsia="Arial" w:hAnsi="Arial"/>
                <w:sz w:val="13"/>
                <w:szCs w:val="13"/>
                <w:b w:val="1"/>
                <w:bCs w:val="1"/>
                <w:color w:val="auto"/>
                <w:w w:val="94"/>
              </w:rPr>
              <w:t>Operating</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Income</w:t>
            </w:r>
          </w:p>
        </w:tc>
        <w:tc>
          <w:tcPr>
            <w:tcW w:w="200" w:type="dxa"/>
            <w:vAlign w:val="bottom"/>
          </w:tcPr>
          <w:p>
            <w:pPr>
              <w:jc w:val="right"/>
              <w:ind w:right="134"/>
              <w:spacing w:after="0" w:line="54" w:lineRule="exact"/>
              <w:rPr>
                <w:sz w:val="20"/>
                <w:szCs w:val="20"/>
                <w:color w:val="auto"/>
              </w:rPr>
            </w:pPr>
            <w:r>
              <w:rPr>
                <w:rFonts w:ascii="Arial" w:cs="Arial" w:eastAsia="Arial" w:hAnsi="Arial"/>
                <w:sz w:val="5"/>
                <w:szCs w:val="5"/>
                <w:b w:val="1"/>
                <w:bCs w:val="1"/>
                <w:color w:val="auto"/>
                <w:w w:val="70"/>
              </w:rPr>
              <w:t>5</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Stabilization</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Square</w:t>
            </w:r>
          </w:p>
        </w:tc>
        <w:tc>
          <w:tcPr>
            <w:tcW w:w="8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Future Equity</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88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Drawn at</w:t>
            </w:r>
          </w:p>
        </w:tc>
        <w:tc>
          <w:tcPr>
            <w:tcW w:w="100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Requirement</w:t>
            </w: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center"/>
              <w:ind w:left="20"/>
              <w:spacing w:after="0" w:line="81" w:lineRule="exact"/>
              <w:rPr>
                <w:sz w:val="20"/>
                <w:szCs w:val="20"/>
                <w:color w:val="auto"/>
              </w:rPr>
            </w:pPr>
            <w:r>
              <w:rPr>
                <w:rFonts w:ascii="Arial" w:cs="Arial" w:eastAsia="Arial" w:hAnsi="Arial"/>
                <w:sz w:val="9"/>
                <w:szCs w:val="9"/>
                <w:b w:val="1"/>
                <w:bCs w:val="1"/>
                <w:color w:val="auto"/>
              </w:rPr>
              <w:t>(BXP’s</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4"/>
              </w:rPr>
              <w:t>Occupancy</w:t>
            </w: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4"/>
                <w:szCs w:val="4"/>
                <w:color w:val="auto"/>
              </w:rPr>
            </w:pP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auto"/>
                <w:w w:val="95"/>
              </w:rPr>
              <w:t>to Date</w:t>
            </w:r>
          </w:p>
        </w:tc>
        <w:tc>
          <w:tcPr>
            <w:tcW w:w="180" w:type="dxa"/>
            <w:vAlign w:val="bottom"/>
          </w:tcPr>
          <w:p>
            <w:pPr>
              <w:jc w:val="right"/>
              <w:ind w:right="89"/>
              <w:spacing w:after="0" w:line="54" w:lineRule="exact"/>
              <w:rPr>
                <w:sz w:val="20"/>
                <w:szCs w:val="20"/>
                <w:color w:val="auto"/>
              </w:rPr>
            </w:pPr>
            <w:r>
              <w:rPr>
                <w:rFonts w:ascii="Arial" w:cs="Arial" w:eastAsia="Arial" w:hAnsi="Arial"/>
                <w:sz w:val="6"/>
                <w:szCs w:val="6"/>
                <w:b w:val="1"/>
                <w:bCs w:val="1"/>
                <w:color w:val="auto"/>
              </w:rPr>
              <w:t>2</w:t>
            </w:r>
          </w:p>
        </w:tc>
        <w:tc>
          <w:tcPr>
            <w:tcW w:w="1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Financing</w:t>
            </w:r>
          </w:p>
        </w:tc>
        <w:tc>
          <w:tcPr>
            <w:tcW w:w="7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9/30/2024</w:t>
            </w: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 xml:space="preserve">Leased </w:t>
            </w:r>
            <w:r>
              <w:rPr>
                <w:rFonts w:ascii="Arial" w:cs="Arial" w:eastAsia="Arial" w:hAnsi="Arial"/>
                <w:sz w:val="16"/>
                <w:szCs w:val="16"/>
                <w:b w:val="1"/>
                <w:bCs w:val="1"/>
                <w:color w:val="auto"/>
                <w:w w:val="95"/>
                <w:vertAlign w:val="superscript"/>
              </w:rPr>
              <w:t>3</w:t>
            </w:r>
          </w:p>
        </w:tc>
        <w:tc>
          <w:tcPr>
            <w:tcW w:w="120" w:type="dxa"/>
            <w:vAlign w:val="bottom"/>
          </w:tcPr>
          <w:p>
            <w:pPr>
              <w:spacing w:after="0"/>
              <w:rPr>
                <w:sz w:val="4"/>
                <w:szCs w:val="4"/>
                <w:color w:val="auto"/>
              </w:rPr>
            </w:pPr>
          </w:p>
        </w:tc>
        <w:tc>
          <w:tcPr>
            <w:tcW w:w="52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auto"/>
                <w:w w:val="97"/>
              </w:rPr>
              <w:t>share)</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ind w:right="101"/>
              <w:spacing w:after="0"/>
              <w:rPr>
                <w:sz w:val="20"/>
                <w:szCs w:val="20"/>
                <w:color w:val="auto"/>
              </w:rPr>
            </w:pPr>
            <w:r>
              <w:rPr>
                <w:rFonts w:ascii="Arial" w:cs="Arial" w:eastAsia="Arial" w:hAnsi="Arial"/>
                <w:sz w:val="8"/>
                <w:szCs w:val="8"/>
                <w:b w:val="1"/>
                <w:bCs w:val="1"/>
                <w:color w:val="auto"/>
                <w:w w:val="88"/>
              </w:rPr>
              <w:t>2</w:t>
            </w: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41"/>
              <w:spacing w:after="0"/>
              <w:rPr>
                <w:sz w:val="20"/>
                <w:szCs w:val="20"/>
                <w:color w:val="auto"/>
              </w:rPr>
            </w:pPr>
            <w:r>
              <w:rPr>
                <w:rFonts w:ascii="Arial" w:cs="Arial" w:eastAsia="Arial" w:hAnsi="Arial"/>
                <w:sz w:val="8"/>
                <w:szCs w:val="8"/>
                <w:b w:val="1"/>
                <w:bCs w:val="1"/>
                <w:color w:val="auto"/>
                <w:w w:val="88"/>
              </w:rPr>
              <w:t>2</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60" w:type="dxa"/>
            <w:vAlign w:val="bottom"/>
          </w:tcPr>
          <w:p>
            <w:pPr>
              <w:ind w:left="20"/>
              <w:spacing w:after="0" w:line="102" w:lineRule="exact"/>
              <w:rPr>
                <w:sz w:val="20"/>
                <w:szCs w:val="20"/>
                <w:color w:val="auto"/>
              </w:rPr>
            </w:pPr>
            <w:r>
              <w:rPr>
                <w:rFonts w:ascii="Arial" w:cs="Arial" w:eastAsia="Arial" w:hAnsi="Arial"/>
                <w:sz w:val="10"/>
                <w:szCs w:val="10"/>
                <w:color w:val="auto"/>
              </w:rPr>
              <w:t>760 Boylston Street</w:t>
            </w: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Arial" w:cs="Arial" w:eastAsia="Arial" w:hAnsi="Arial"/>
                <w:sz w:val="13"/>
                <w:szCs w:val="13"/>
                <w:color w:val="auto"/>
              </w:rPr>
              <w:t>(Redevelopment)</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rPr>
              <w:t>Q2 2024</w:t>
            </w: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color w:val="auto"/>
                <w:w w:val="96"/>
              </w:rPr>
              <w:t>Q2 2024</w:t>
            </w: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Boston, MA</w:t>
            </w:r>
          </w:p>
        </w:tc>
        <w:tc>
          <w:tcPr>
            <w:tcW w:w="620" w:type="dxa"/>
            <w:vAlign w:val="bottom"/>
          </w:tcPr>
          <w:p>
            <w:pPr>
              <w:jc w:val="right"/>
              <w:spacing w:after="0"/>
              <w:rPr>
                <w:sz w:val="20"/>
                <w:szCs w:val="20"/>
                <w:color w:val="auto"/>
              </w:rPr>
            </w:pPr>
            <w:r>
              <w:rPr>
                <w:rFonts w:ascii="Arial" w:cs="Arial" w:eastAsia="Arial" w:hAnsi="Arial"/>
                <w:sz w:val="13"/>
                <w:szCs w:val="13"/>
                <w:color w:val="auto"/>
              </w:rPr>
              <w:t>118,000</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9"/>
              <w:spacing w:after="0"/>
              <w:rPr>
                <w:sz w:val="20"/>
                <w:szCs w:val="20"/>
                <w:color w:val="auto"/>
              </w:rPr>
            </w:pPr>
            <w:r>
              <w:rPr>
                <w:rFonts w:ascii="Arial" w:cs="Arial" w:eastAsia="Arial" w:hAnsi="Arial"/>
                <w:sz w:val="13"/>
                <w:szCs w:val="13"/>
                <w:color w:val="auto"/>
              </w:rPr>
              <w:t>33,806</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
              <w:spacing w:after="0"/>
              <w:rPr>
                <w:sz w:val="20"/>
                <w:szCs w:val="20"/>
                <w:color w:val="auto"/>
              </w:rPr>
            </w:pPr>
            <w:r>
              <w:rPr>
                <w:rFonts w:ascii="Arial" w:cs="Arial" w:eastAsia="Arial" w:hAnsi="Arial"/>
                <w:sz w:val="13"/>
                <w:szCs w:val="13"/>
                <w:color w:val="auto"/>
              </w:rPr>
              <w:t>43,800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
              <w:spacing w:after="0"/>
              <w:rPr>
                <w:sz w:val="20"/>
                <w:szCs w:val="20"/>
                <w:color w:val="auto"/>
              </w:rPr>
            </w:pPr>
            <w:r>
              <w:rPr>
                <w:rFonts w:ascii="Arial" w:cs="Arial" w:eastAsia="Arial" w:hAnsi="Arial"/>
                <w:sz w:val="13"/>
                <w:szCs w:val="13"/>
                <w:color w:val="auto"/>
              </w:rPr>
              <w:t>9,994</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100 %</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4"/>
              <w:spacing w:after="0"/>
              <w:rPr>
                <w:sz w:val="20"/>
                <w:szCs w:val="20"/>
                <w:color w:val="auto"/>
              </w:rPr>
            </w:pPr>
            <w:r>
              <w:rPr>
                <w:rFonts w:ascii="Arial" w:cs="Arial" w:eastAsia="Arial" w:hAnsi="Arial"/>
                <w:sz w:val="13"/>
                <w:szCs w:val="13"/>
                <w:color w:val="auto"/>
              </w:rPr>
              <w:t>2,048</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Waltham,</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60" w:type="dxa"/>
            <w:vAlign w:val="bottom"/>
          </w:tcPr>
          <w:p>
            <w:pPr>
              <w:ind w:left="20"/>
              <w:spacing w:after="0"/>
              <w:rPr>
                <w:sz w:val="20"/>
                <w:szCs w:val="20"/>
                <w:color w:val="auto"/>
              </w:rPr>
            </w:pPr>
            <w:r>
              <w:rPr>
                <w:rFonts w:ascii="Arial" w:cs="Arial" w:eastAsia="Arial" w:hAnsi="Arial"/>
                <w:sz w:val="13"/>
                <w:szCs w:val="13"/>
                <w:color w:val="auto"/>
              </w:rPr>
              <w:t>180 CityPoint</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rPr>
              <w:t>Q4 2023</w:t>
            </w: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color w:val="auto"/>
                <w:w w:val="96"/>
              </w:rPr>
              <w:t>Q2 2026</w:t>
            </w: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329,195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3"/>
                <w:szCs w:val="13"/>
                <w:color w:val="auto"/>
              </w:rPr>
              <w:t>225,414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290,500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65,086</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43 %</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08"/>
        </w:trPr>
        <w:tc>
          <w:tcPr>
            <w:tcW w:w="2280" w:type="dxa"/>
            <w:vAlign w:val="bottom"/>
            <w:gridSpan w:val="3"/>
          </w:tcPr>
          <w:p>
            <w:pPr>
              <w:ind w:left="20"/>
              <w:spacing w:after="0" w:line="108" w:lineRule="exact"/>
              <w:rPr>
                <w:sz w:val="20"/>
                <w:szCs w:val="20"/>
                <w:color w:val="auto"/>
              </w:rPr>
            </w:pPr>
            <w:r>
              <w:rPr>
                <w:rFonts w:ascii="Arial" w:cs="Arial" w:eastAsia="Arial" w:hAnsi="Arial"/>
                <w:sz w:val="12"/>
                <w:szCs w:val="12"/>
                <w:b w:val="1"/>
                <w:bCs w:val="1"/>
                <w:color w:val="auto"/>
              </w:rPr>
              <w:t>Total Projects Fully Placed In-</w:t>
            </w: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447,195</w:t>
            </w:r>
          </w:p>
        </w:tc>
        <w:tc>
          <w:tcPr>
            <w:tcW w:w="12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49"/>
              <w:spacing w:after="0"/>
              <w:rPr>
                <w:sz w:val="20"/>
                <w:szCs w:val="20"/>
                <w:color w:val="auto"/>
              </w:rPr>
            </w:pPr>
            <w:r>
              <w:rPr>
                <w:rFonts w:ascii="Arial" w:cs="Arial" w:eastAsia="Arial" w:hAnsi="Arial"/>
                <w:sz w:val="13"/>
                <w:szCs w:val="13"/>
                <w:color w:val="auto"/>
              </w:rPr>
              <w:t>259,220</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
              <w:spacing w:after="0"/>
              <w:rPr>
                <w:sz w:val="20"/>
                <w:szCs w:val="20"/>
                <w:color w:val="auto"/>
              </w:rPr>
            </w:pPr>
            <w:r>
              <w:rPr>
                <w:rFonts w:ascii="Arial" w:cs="Arial" w:eastAsia="Arial" w:hAnsi="Arial"/>
                <w:sz w:val="13"/>
                <w:szCs w:val="13"/>
                <w:color w:val="auto"/>
              </w:rPr>
              <w:t>334,300</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3"/>
                <w:szCs w:val="13"/>
                <w:color w:val="auto"/>
              </w:rPr>
              <w:t>75,080</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34"/>
              <w:spacing w:after="0"/>
              <w:rPr>
                <w:sz w:val="20"/>
                <w:szCs w:val="20"/>
                <w:color w:val="auto"/>
              </w:rPr>
            </w:pPr>
            <w:r>
              <w:rPr>
                <w:rFonts w:ascii="Arial" w:cs="Arial" w:eastAsia="Arial" w:hAnsi="Arial"/>
                <w:sz w:val="13"/>
                <w:szCs w:val="13"/>
                <w:color w:val="auto"/>
              </w:rPr>
              <w:t>4,150</w:t>
            </w:r>
          </w:p>
        </w:tc>
        <w:tc>
          <w:tcPr>
            <w:tcW w:w="0" w:type="dxa"/>
            <w:vAlign w:val="bottom"/>
          </w:tcPr>
          <w:p>
            <w:pPr>
              <w:spacing w:after="0"/>
              <w:rPr>
                <w:sz w:val="1"/>
                <w:szCs w:val="1"/>
                <w:color w:val="auto"/>
              </w:rPr>
            </w:pPr>
          </w:p>
        </w:tc>
      </w:tr>
      <w:tr>
        <w:trPr>
          <w:trHeight w:val="162"/>
        </w:trPr>
        <w:tc>
          <w:tcPr>
            <w:tcW w:w="1460" w:type="dxa"/>
            <w:vAlign w:val="bottom"/>
          </w:tcPr>
          <w:p>
            <w:pPr>
              <w:ind w:left="20"/>
              <w:spacing w:after="0"/>
              <w:rPr>
                <w:sz w:val="20"/>
                <w:szCs w:val="20"/>
                <w:color w:val="auto"/>
              </w:rPr>
            </w:pPr>
            <w:r>
              <w:rPr>
                <w:rFonts w:ascii="Arial" w:cs="Arial" w:eastAsia="Arial" w:hAnsi="Arial"/>
                <w:sz w:val="13"/>
                <w:szCs w:val="13"/>
                <w:b w:val="1"/>
                <w:bCs w:val="1"/>
                <w:color w:val="auto"/>
              </w:rPr>
              <w:t>Service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58 %</w:t>
            </w:r>
          </w:p>
        </w:tc>
        <w:tc>
          <w:tcPr>
            <w:tcW w:w="1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ind w:left="80" w:hanging="72"/>
        <w:spacing w:after="0" w:line="230" w:lineRule="auto"/>
        <w:tabs>
          <w:tab w:leader="none" w:pos="8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A project is classified as Construction in Progress when (1) construction or supply contracts have been signed, physical improvements have commenced or a lease has been signed and</w:t>
      </w:r>
    </w:p>
    <w:p>
      <w:pPr>
        <w:ind w:left="80"/>
        <w:spacing w:after="0"/>
        <w:rPr>
          <w:rFonts w:ascii="Arial" w:cs="Arial" w:eastAsia="Arial" w:hAnsi="Arial"/>
          <w:sz w:val="19"/>
          <w:szCs w:val="19"/>
          <w:color w:val="auto"/>
          <w:vertAlign w:val="superscript"/>
        </w:rPr>
      </w:pPr>
      <w:r>
        <w:rPr>
          <w:rFonts w:ascii="Arial" w:cs="Arial" w:eastAsia="Arial" w:hAnsi="Arial"/>
          <w:sz w:val="13"/>
          <w:szCs w:val="13"/>
          <w:color w:val="auto"/>
        </w:rPr>
        <w:t>(2) capitalized interest has commenced.</w:t>
      </w:r>
    </w:p>
    <w:p>
      <w:pPr>
        <w:ind w:left="80" w:hanging="72"/>
        <w:spacing w:after="0" w:line="238" w:lineRule="auto"/>
        <w:tabs>
          <w:tab w:leader="none" w:pos="8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color w:val="auto"/>
        </w:rPr>
        <w:t>Includes income (loss) and interest carry on debt and equity investment.</w:t>
      </w:r>
    </w:p>
    <w:p>
      <w:pPr>
        <w:ind w:left="80" w:hanging="72"/>
        <w:spacing w:after="0" w:line="208" w:lineRule="auto"/>
        <w:tabs>
          <w:tab w:leader="none" w:pos="80" w:val="left"/>
        </w:tabs>
        <w:numPr>
          <w:ilvl w:val="0"/>
          <w:numId w:val="38"/>
        </w:numPr>
        <w:rPr>
          <w:rFonts w:ascii="Arial" w:cs="Arial" w:eastAsia="Arial" w:hAnsi="Arial"/>
          <w:sz w:val="19"/>
          <w:szCs w:val="19"/>
          <w:color w:val="auto"/>
          <w:vertAlign w:val="superscript"/>
        </w:rPr>
      </w:pPr>
      <w:r>
        <w:rPr>
          <w:rFonts w:ascii="Arial" w:cs="Arial" w:eastAsia="Arial" w:hAnsi="Arial"/>
          <w:sz w:val="13"/>
          <w:szCs w:val="13"/>
          <w:color w:val="auto"/>
        </w:rPr>
        <w:t>Represents percentage leased as of October 28, 2024, including leases with future commencement dates.</w:t>
      </w:r>
    </w:p>
    <w:p>
      <w:pPr>
        <w:ind w:left="80" w:hanging="72"/>
        <w:spacing w:after="0" w:line="222" w:lineRule="auto"/>
        <w:tabs>
          <w:tab w:leader="none" w:pos="80" w:val="left"/>
        </w:tabs>
        <w:numPr>
          <w:ilvl w:val="0"/>
          <w:numId w:val="39"/>
        </w:numPr>
        <w:rPr>
          <w:rFonts w:ascii="Arial" w:cs="Arial" w:eastAsia="Arial" w:hAnsi="Arial"/>
          <w:sz w:val="19"/>
          <w:szCs w:val="19"/>
          <w:color w:val="auto"/>
          <w:vertAlign w:val="superscript"/>
        </w:rPr>
      </w:pPr>
      <w:r>
        <w:rPr>
          <w:rFonts w:ascii="Arial" w:cs="Arial" w:eastAsia="Arial" w:hAnsi="Arial"/>
          <w:sz w:val="13"/>
          <w:szCs w:val="13"/>
          <w:color w:val="auto"/>
        </w:rPr>
        <w:t>Represents the portion of the project that no longer qualifies for capitalization of interest in accordance with GAAP.</w:t>
      </w:r>
    </w:p>
    <w:p>
      <w:pPr>
        <w:spacing w:after="0" w:line="27" w:lineRule="exact"/>
        <w:rPr>
          <w:sz w:val="20"/>
          <w:szCs w:val="20"/>
          <w:color w:val="auto"/>
        </w:rPr>
      </w:pPr>
    </w:p>
    <w:p>
      <w:pPr>
        <w:ind w:left="80" w:right="80" w:hanging="72"/>
        <w:spacing w:after="0" w:line="227" w:lineRule="auto"/>
        <w:tabs>
          <w:tab w:leader="none" w:pos="78" w:val="left"/>
        </w:tabs>
        <w:numPr>
          <w:ilvl w:val="0"/>
          <w:numId w:val="40"/>
        </w:numPr>
        <w:rPr>
          <w:rFonts w:ascii="Arial" w:cs="Arial" w:eastAsia="Arial" w:hAnsi="Arial"/>
          <w:sz w:val="18"/>
          <w:szCs w:val="18"/>
          <w:color w:val="auto"/>
          <w:vertAlign w:val="superscript"/>
        </w:rPr>
      </w:pPr>
      <w:r>
        <w:rPr>
          <w:rFonts w:ascii="Arial" w:cs="Arial" w:eastAsia="Arial" w:hAnsi="Arial"/>
          <w:sz w:val="13"/>
          <w:szCs w:val="13"/>
          <w:color w:val="auto"/>
        </w:rPr>
        <w:t>Amounts represent Net Operating Income (Loss) for the three months ended September 30, 2024. For partially owned properties, amount represents BXP’s share based on its ownership percentage. See the Definitions and Reconciliations sections of this supplemental package starting on page 57.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279" w:right="33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Construction in progress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80" w:right="20" w:hanging="72"/>
        <w:spacing w:after="0" w:line="243" w:lineRule="auto"/>
        <w:tabs>
          <w:tab w:leader="none" w:pos="75"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Norges Bank Investment Management (NBIM) funded approximately $212.9 million at closing for its investment in 300 Binney Street. The Company withdrew approximately $212.9 million at closing and will fund all future costs of the project.</w:t>
      </w:r>
    </w:p>
    <w:p>
      <w:pPr>
        <w:spacing w:after="0" w:line="13" w:lineRule="exact"/>
        <w:rPr>
          <w:sz w:val="20"/>
          <w:szCs w:val="20"/>
          <w:color w:val="auto"/>
        </w:rPr>
      </w:pPr>
    </w:p>
    <w:p>
      <w:pPr>
        <w:jc w:val="both"/>
        <w:ind w:left="80" w:right="20" w:hanging="72"/>
        <w:spacing w:after="0" w:line="237" w:lineRule="auto"/>
        <w:tabs>
          <w:tab w:leader="none" w:pos="78" w:val="left"/>
        </w:tabs>
        <w:numPr>
          <w:ilvl w:val="0"/>
          <w:numId w:val="42"/>
        </w:numPr>
        <w:rPr>
          <w:rFonts w:ascii="Arial" w:cs="Arial" w:eastAsia="Arial" w:hAnsi="Arial"/>
          <w:sz w:val="18"/>
          <w:szCs w:val="18"/>
          <w:color w:val="auto"/>
          <w:vertAlign w:val="superscript"/>
        </w:rPr>
      </w:pPr>
      <w:r>
        <w:rPr>
          <w:rFonts w:ascii="Arial" w:cs="Arial" w:eastAsia="Arial" w:hAnsi="Arial"/>
          <w:sz w:val="13"/>
          <w:szCs w:val="13"/>
          <w:color w:val="auto"/>
        </w:rPr>
        <w:t>The project budget reflects the Company’s 55% share of joint venture costs related to 290 Binney Street. The Company has the sole obligation to construct an underground electrical vault for an estimated gross cost of $183.9 million. Upon completion, the Company has entered into a contract to sell the electrical vault to a third party for a fixed price of $84.1 million. The net investment of $99.8 million will be included in the Company’s outside basis in 290 Binney Street. The Company has invested $58.9 million for the vault as of September 30, 2024.</w:t>
      </w:r>
    </w:p>
    <w:p>
      <w:pPr>
        <w:ind w:left="80" w:hanging="72"/>
        <w:spacing w:after="0" w:line="223" w:lineRule="auto"/>
        <w:tabs>
          <w:tab w:leader="none" w:pos="80"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Total percentage leased excludes Residential.</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279" w:right="339" w:bottom="1440" w:gutter="0" w:footer="0" w:header="0"/>
        </w:sectPr>
      </w:pPr>
    </w:p>
    <w:bookmarkStart w:id="24" w:name="page25"/>
    <w:bookmarkEnd w:id="2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Land parcels and purchase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OWNED LAND PARCELS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0749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74920" cy="1714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3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89"/>
        </w:trPr>
        <w:tc>
          <w:tcPr>
            <w:tcW w:w="4640" w:type="dxa"/>
            <w:vAlign w:val="bottom"/>
          </w:tcPr>
          <w:p>
            <w:pPr>
              <w:ind w:left="20"/>
              <w:spacing w:after="0"/>
              <w:rPr>
                <w:sz w:val="20"/>
                <w:szCs w:val="20"/>
                <w:color w:val="auto"/>
              </w:rPr>
            </w:pPr>
            <w:r>
              <w:rPr>
                <w:rFonts w:ascii="Arial" w:cs="Arial" w:eastAsia="Arial" w:hAnsi="Arial"/>
                <w:sz w:val="14"/>
                <w:szCs w:val="14"/>
                <w:color w:val="auto"/>
              </w:rPr>
              <w:t xml:space="preserve">San Jose, CA </w:t>
            </w:r>
            <w:r>
              <w:rPr>
                <w:rFonts w:ascii="Arial" w:cs="Arial" w:eastAsia="Arial" w:hAnsi="Arial"/>
                <w:sz w:val="9"/>
                <w:szCs w:val="9"/>
                <w:color w:val="auto"/>
              </w:rPr>
              <w:t>2</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2,830,000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Reston, VA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2,229,000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New York, NY (25%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Princeton, NJ</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1,723,000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San Jose, CA (55%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1,088,000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New York, NY (55%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895,000</w:t>
            </w:r>
          </w:p>
        </w:tc>
        <w:tc>
          <w:tcPr>
            <w:tcW w:w="0" w:type="dxa"/>
            <w:vAlign w:val="bottom"/>
          </w:tcPr>
          <w:p>
            <w:pPr>
              <w:spacing w:after="0"/>
              <w:rPr>
                <w:sz w:val="1"/>
                <w:szCs w:val="1"/>
                <w:color w:val="auto"/>
              </w:rPr>
            </w:pPr>
          </w:p>
        </w:tc>
      </w:tr>
      <w:tr>
        <w:trPr>
          <w:trHeight w:val="202"/>
        </w:trPr>
        <w:tc>
          <w:tcPr>
            <w:tcW w:w="4640" w:type="dxa"/>
            <w:vAlign w:val="bottom"/>
          </w:tcPr>
          <w:p>
            <w:pPr>
              <w:ind w:left="20"/>
              <w:spacing w:after="0"/>
              <w:rPr>
                <w:sz w:val="20"/>
                <w:szCs w:val="20"/>
                <w:color w:val="auto"/>
              </w:rPr>
            </w:pPr>
            <w:r>
              <w:rPr>
                <w:rFonts w:ascii="Arial" w:cs="Arial" w:eastAsia="Arial" w:hAnsi="Arial"/>
                <w:sz w:val="14"/>
                <w:szCs w:val="14"/>
                <w:color w:val="auto"/>
              </w:rPr>
              <w:t>San Francisco, CA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Lexington,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767,000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Santa Clara, CA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632,000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Washington, DC (50%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520,000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South San Francisco, CA (50%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451,000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 xml:space="preserve">Rockville, MD </w:t>
            </w:r>
            <w:r>
              <w:rPr>
                <w:rFonts w:ascii="Arial" w:cs="Arial" w:eastAsia="Arial" w:hAnsi="Arial"/>
                <w:sz w:val="9"/>
                <w:szCs w:val="9"/>
                <w:color w:val="auto"/>
              </w:rPr>
              <w:t>2</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435,000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Springfield, VA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422,000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Herndon, VA (50%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El Segundo, CA (50%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Waltham,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245,000</w:t>
            </w: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Arial" w:cs="Arial" w:eastAsia="Arial" w:hAnsi="Arial"/>
                <w:sz w:val="14"/>
                <w:szCs w:val="14"/>
                <w:color w:val="auto"/>
              </w:rPr>
              <w:t>Dulles, VA</w:t>
            </w:r>
          </w:p>
        </w:tc>
        <w:tc>
          <w:tcPr>
            <w:tcW w:w="196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00"/>
        </w:trPr>
        <w:tc>
          <w:tcPr>
            <w:tcW w:w="4640" w:type="dxa"/>
            <w:vAlign w:val="bottom"/>
          </w:tcPr>
          <w:p>
            <w:pPr>
              <w:ind w:left="380"/>
              <w:spacing w:after="0"/>
              <w:rPr>
                <w:sz w:val="20"/>
                <w:szCs w:val="20"/>
                <w:color w:val="auto"/>
              </w:rPr>
            </w:pPr>
            <w:r>
              <w:rPr>
                <w:rFonts w:ascii="Arial" w:cs="Arial" w:eastAsia="Arial" w:hAnsi="Arial"/>
                <w:sz w:val="14"/>
                <w:szCs w:val="14"/>
                <w:color w:val="auto"/>
              </w:rPr>
              <w:t>Total</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15,862,000</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VALUE CREATION PIPELINE - LAND PURCHASE OPTIONS</w:t>
            </w:r>
          </w:p>
        </w:tc>
        <w:tc>
          <w:tcPr>
            <w:tcW w:w="19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4640" w:type="dxa"/>
            <w:vAlign w:val="bottom"/>
            <w:tcBorders>
              <w:bottom w:val="single" w:sz="8" w:color="auto"/>
            </w:tcBorders>
            <w:vMerge w:val="continue"/>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3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Boston,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1,300,000</w:t>
            </w:r>
          </w:p>
        </w:tc>
        <w:tc>
          <w:tcPr>
            <w:tcW w:w="0" w:type="dxa"/>
            <w:vAlign w:val="bottom"/>
          </w:tcPr>
          <w:p>
            <w:pPr>
              <w:spacing w:after="0"/>
              <w:rPr>
                <w:sz w:val="1"/>
                <w:szCs w:val="1"/>
                <w:color w:val="auto"/>
              </w:rPr>
            </w:pPr>
          </w:p>
        </w:tc>
      </w:tr>
      <w:tr>
        <w:trPr>
          <w:trHeight w:val="215"/>
        </w:trPr>
        <w:tc>
          <w:tcPr>
            <w:tcW w:w="4640" w:type="dxa"/>
            <w:vAlign w:val="bottom"/>
          </w:tcPr>
          <w:p>
            <w:pPr>
              <w:ind w:left="20"/>
              <w:spacing w:after="0"/>
              <w:rPr>
                <w:sz w:val="20"/>
                <w:szCs w:val="20"/>
                <w:color w:val="auto"/>
              </w:rPr>
            </w:pPr>
            <w:r>
              <w:rPr>
                <w:rFonts w:ascii="Arial" w:cs="Arial" w:eastAsia="Arial" w:hAnsi="Arial"/>
                <w:sz w:val="14"/>
                <w:szCs w:val="14"/>
                <w:color w:val="auto"/>
              </w:rPr>
              <w:t xml:space="preserve">Waltham, MA </w:t>
            </w:r>
            <w:r>
              <w:rPr>
                <w:rFonts w:ascii="Arial" w:cs="Arial" w:eastAsia="Arial" w:hAnsi="Arial"/>
                <w:sz w:val="18"/>
                <w:szCs w:val="18"/>
                <w:color w:val="auto"/>
                <w:vertAlign w:val="superscript"/>
              </w:rPr>
              <w:t>3</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94"/>
        </w:trPr>
        <w:tc>
          <w:tcPr>
            <w:tcW w:w="4640" w:type="dxa"/>
            <w:vAlign w:val="bottom"/>
          </w:tcPr>
          <w:p>
            <w:pPr>
              <w:ind w:left="20"/>
              <w:spacing w:after="0"/>
              <w:rPr>
                <w:sz w:val="20"/>
                <w:szCs w:val="20"/>
                <w:color w:val="auto"/>
              </w:rPr>
            </w:pPr>
            <w:r>
              <w:rPr>
                <w:rFonts w:ascii="Arial" w:cs="Arial" w:eastAsia="Arial" w:hAnsi="Arial"/>
                <w:sz w:val="14"/>
                <w:szCs w:val="14"/>
                <w:color w:val="auto"/>
              </w:rPr>
              <w:t>Cambridge, MA</w:t>
            </w:r>
          </w:p>
        </w:tc>
        <w:tc>
          <w:tcPr>
            <w:tcW w:w="19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573,000</w:t>
            </w:r>
          </w:p>
        </w:tc>
        <w:tc>
          <w:tcPr>
            <w:tcW w:w="0" w:type="dxa"/>
            <w:vAlign w:val="bottom"/>
          </w:tcPr>
          <w:p>
            <w:pPr>
              <w:spacing w:after="0"/>
              <w:rPr>
                <w:sz w:val="1"/>
                <w:szCs w:val="1"/>
                <w:color w:val="auto"/>
              </w:rPr>
            </w:pPr>
          </w:p>
        </w:tc>
      </w:tr>
      <w:tr>
        <w:trPr>
          <w:trHeight w:val="200"/>
        </w:trPr>
        <w:tc>
          <w:tcPr>
            <w:tcW w:w="4640" w:type="dxa"/>
            <w:vAlign w:val="bottom"/>
          </w:tcPr>
          <w:p>
            <w:pPr>
              <w:ind w:left="380"/>
              <w:spacing w:after="0"/>
              <w:rPr>
                <w:sz w:val="20"/>
                <w:szCs w:val="20"/>
                <w:color w:val="auto"/>
              </w:rPr>
            </w:pPr>
            <w:r>
              <w:rPr>
                <w:rFonts w:ascii="Arial" w:cs="Arial" w:eastAsia="Arial" w:hAnsi="Arial"/>
                <w:sz w:val="14"/>
                <w:szCs w:val="14"/>
                <w:color w:val="auto"/>
              </w:rPr>
              <w:t>Total</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3,073,000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8" w:lineRule="exact"/>
        <w:rPr>
          <w:sz w:val="20"/>
          <w:szCs w:val="20"/>
          <w:color w:val="auto"/>
        </w:rPr>
      </w:pPr>
    </w:p>
    <w:p>
      <w:pPr>
        <w:ind w:left="80" w:hanging="72"/>
        <w:spacing w:after="0"/>
        <w:tabs>
          <w:tab w:leader="none" w:pos="8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Represents 100% of consolidated and unconsolidated projects.</w:t>
      </w:r>
    </w:p>
    <w:p>
      <w:pPr>
        <w:ind w:left="80" w:hanging="72"/>
        <w:spacing w:after="0" w:line="222" w:lineRule="auto"/>
        <w:tabs>
          <w:tab w:leader="none" w:pos="8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Excludes the existing square footage at in-service properties being held for future re-development as listed and noted on pages 22-25.</w:t>
      </w:r>
    </w:p>
    <w:p>
      <w:pPr>
        <w:spacing w:after="0" w:line="40" w:lineRule="exact"/>
        <w:rPr>
          <w:rFonts w:ascii="Arial" w:cs="Arial" w:eastAsia="Arial" w:hAnsi="Arial"/>
          <w:sz w:val="19"/>
          <w:szCs w:val="19"/>
          <w:color w:val="auto"/>
          <w:vertAlign w:val="superscript"/>
        </w:rPr>
      </w:pPr>
    </w:p>
    <w:p>
      <w:pPr>
        <w:spacing w:after="0" w:line="238"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The Company expects to be a 50% partner in the future development of these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27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95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Q3 2024</w:t>
            </w:r>
          </w:p>
        </w:tc>
        <w:tc>
          <w:tcPr>
            <w:tcW w:w="0" w:type="dxa"/>
            <w:vAlign w:val="bottom"/>
          </w:tcPr>
          <w:p>
            <w:pPr>
              <w:spacing w:after="0"/>
              <w:rPr>
                <w:sz w:val="1"/>
                <w:szCs w:val="1"/>
                <w:color w:val="auto"/>
              </w:rPr>
            </w:pPr>
          </w:p>
        </w:tc>
      </w:tr>
      <w:tr>
        <w:trPr>
          <w:trHeight w:val="231"/>
        </w:trPr>
        <w:tc>
          <w:tcPr>
            <w:tcW w:w="9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Leasing activity</w:t>
            </w:r>
          </w:p>
        </w:tc>
        <w:tc>
          <w:tcPr>
            <w:tcW w:w="0" w:type="dxa"/>
            <w:vAlign w:val="bottom"/>
          </w:tcPr>
          <w:p>
            <w:pPr>
              <w:spacing w:after="0"/>
              <w:rPr>
                <w:sz w:val="1"/>
                <w:szCs w:val="1"/>
                <w:color w:val="auto"/>
              </w:rPr>
            </w:pPr>
          </w:p>
        </w:tc>
      </w:tr>
      <w:tr>
        <w:trPr>
          <w:trHeight w:val="600"/>
        </w:trPr>
        <w:tc>
          <w:tcPr>
            <w:tcW w:w="9500" w:type="dxa"/>
            <w:vAlign w:val="bottom"/>
          </w:tcPr>
          <w:p>
            <w:pPr>
              <w:spacing w:after="0"/>
              <w:rPr>
                <w:sz w:val="20"/>
                <w:szCs w:val="20"/>
                <w:color w:val="auto"/>
              </w:rPr>
            </w:pPr>
            <w:r>
              <w:rPr>
                <w:rFonts w:ascii="Arial" w:cs="Arial" w:eastAsia="Arial" w:hAnsi="Arial"/>
                <w:sz w:val="14"/>
                <w:szCs w:val="14"/>
                <w:color w:val="auto"/>
              </w:rPr>
              <w:t>for the three months ended September 30, 2024</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9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ALL IN-SERVICE PROPERTIES</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500" w:type="dxa"/>
            <w:vAlign w:val="bottom"/>
          </w:tcPr>
          <w:p>
            <w:pPr>
              <w:ind w:left="20"/>
              <w:spacing w:after="0"/>
              <w:rPr>
                <w:sz w:val="20"/>
                <w:szCs w:val="20"/>
                <w:color w:val="auto"/>
              </w:rPr>
            </w:pPr>
            <w:r>
              <w:rPr>
                <w:rFonts w:ascii="Arial" w:cs="Arial" w:eastAsia="Arial" w:hAnsi="Arial"/>
                <w:sz w:val="14"/>
                <w:szCs w:val="14"/>
                <w:b w:val="1"/>
                <w:bCs w:val="1"/>
                <w:color w:val="auto"/>
              </w:rPr>
              <w:t>Net (increase)/decrease in available space (SF)</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9500" w:type="dxa"/>
            <w:vAlign w:val="bottom"/>
          </w:tcPr>
          <w:p>
            <w:pPr>
              <w:ind w:left="20"/>
              <w:spacing w:after="0"/>
              <w:rPr>
                <w:sz w:val="20"/>
                <w:szCs w:val="20"/>
                <w:color w:val="auto"/>
              </w:rPr>
            </w:pPr>
            <w:r>
              <w:rPr>
                <w:rFonts w:ascii="Arial" w:cs="Arial" w:eastAsia="Arial" w:hAnsi="Arial"/>
                <w:sz w:val="14"/>
                <w:szCs w:val="14"/>
                <w:color w:val="auto"/>
              </w:rPr>
              <w:t>Vacant space available at the beginning of the period</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6,289,299</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Less:</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00" w:type="dxa"/>
            <w:vAlign w:val="bottom"/>
          </w:tcPr>
          <w:p>
            <w:pPr>
              <w:ind w:left="220"/>
              <w:spacing w:after="0"/>
              <w:rPr>
                <w:sz w:val="20"/>
                <w:szCs w:val="20"/>
                <w:color w:val="auto"/>
              </w:rPr>
            </w:pPr>
            <w:r>
              <w:rPr>
                <w:rFonts w:ascii="Arial" w:cs="Arial" w:eastAsia="Arial" w:hAnsi="Arial"/>
                <w:sz w:val="14"/>
                <w:szCs w:val="14"/>
                <w:color w:val="auto"/>
              </w:rPr>
              <w:t xml:space="preserve">Property dispositions/properties taken out of service </w:t>
            </w:r>
            <w:r>
              <w:rPr>
                <w:rFonts w:ascii="Arial" w:cs="Arial" w:eastAsia="Arial" w:hAnsi="Arial"/>
                <w:sz w:val="9"/>
                <w:szCs w:val="9"/>
                <w:color w:val="auto"/>
              </w:rPr>
              <w:t>1</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316,538</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Add:</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00" w:type="dxa"/>
            <w:vAlign w:val="bottom"/>
          </w:tcPr>
          <w:p>
            <w:pPr>
              <w:ind w:left="220"/>
              <w:spacing w:after="0"/>
              <w:rPr>
                <w:sz w:val="20"/>
                <w:szCs w:val="20"/>
                <w:color w:val="auto"/>
              </w:rPr>
            </w:pPr>
            <w:r>
              <w:rPr>
                <w:rFonts w:ascii="Arial" w:cs="Arial" w:eastAsia="Arial" w:hAnsi="Arial"/>
                <w:sz w:val="14"/>
                <w:szCs w:val="14"/>
                <w:color w:val="auto"/>
              </w:rPr>
              <w:t xml:space="preserve">Properties placed (and partially placed) in-service </w:t>
            </w:r>
            <w:r>
              <w:rPr>
                <w:rFonts w:ascii="Arial" w:cs="Arial" w:eastAsia="Arial" w:hAnsi="Arial"/>
                <w:sz w:val="9"/>
                <w:szCs w:val="9"/>
                <w:color w:val="auto"/>
              </w:rPr>
              <w:t>2</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209,413</w:t>
            </w:r>
          </w:p>
        </w:tc>
        <w:tc>
          <w:tcPr>
            <w:tcW w:w="0" w:type="dxa"/>
            <w:vAlign w:val="bottom"/>
          </w:tcPr>
          <w:p>
            <w:pPr>
              <w:spacing w:after="0"/>
              <w:rPr>
                <w:sz w:val="1"/>
                <w:szCs w:val="1"/>
                <w:color w:val="auto"/>
              </w:rPr>
            </w:pPr>
          </w:p>
        </w:tc>
      </w:tr>
      <w:tr>
        <w:trPr>
          <w:trHeight w:val="204"/>
        </w:trPr>
        <w:tc>
          <w:tcPr>
            <w:tcW w:w="9500" w:type="dxa"/>
            <w:vAlign w:val="bottom"/>
          </w:tcPr>
          <w:p>
            <w:pPr>
              <w:ind w:left="220"/>
              <w:spacing w:after="0"/>
              <w:rPr>
                <w:sz w:val="20"/>
                <w:szCs w:val="20"/>
                <w:color w:val="auto"/>
              </w:rPr>
            </w:pPr>
            <w:r>
              <w:rPr>
                <w:rFonts w:ascii="Arial" w:cs="Arial" w:eastAsia="Arial" w:hAnsi="Arial"/>
                <w:sz w:val="14"/>
                <w:szCs w:val="14"/>
                <w:color w:val="auto"/>
              </w:rPr>
              <w:t>Leases expiring or terminated during the period</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1,405,356</w:t>
            </w:r>
          </w:p>
        </w:tc>
        <w:tc>
          <w:tcPr>
            <w:tcW w:w="0" w:type="dxa"/>
            <w:vAlign w:val="bottom"/>
          </w:tcPr>
          <w:p>
            <w:pPr>
              <w:spacing w:after="0"/>
              <w:rPr>
                <w:sz w:val="1"/>
                <w:szCs w:val="1"/>
                <w:color w:val="auto"/>
              </w:rPr>
            </w:pPr>
          </w:p>
        </w:tc>
      </w:tr>
      <w:tr>
        <w:trPr>
          <w:trHeight w:val="198"/>
        </w:trPr>
        <w:tc>
          <w:tcPr>
            <w:tcW w:w="9500" w:type="dxa"/>
            <w:vAlign w:val="bottom"/>
          </w:tcPr>
          <w:p>
            <w:pPr>
              <w:ind w:left="480"/>
              <w:spacing w:after="0"/>
              <w:rPr>
                <w:sz w:val="20"/>
                <w:szCs w:val="20"/>
                <w:color w:val="auto"/>
              </w:rPr>
            </w:pPr>
            <w:r>
              <w:rPr>
                <w:rFonts w:ascii="Arial" w:cs="Arial" w:eastAsia="Arial" w:hAnsi="Arial"/>
                <w:sz w:val="14"/>
                <w:szCs w:val="14"/>
                <w:color w:val="auto"/>
              </w:rPr>
              <w:t>Total space available for lease</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7,587,530</w:t>
            </w:r>
          </w:p>
        </w:tc>
        <w:tc>
          <w:tcPr>
            <w:tcW w:w="0" w:type="dxa"/>
            <w:vAlign w:val="bottom"/>
          </w:tcPr>
          <w:p>
            <w:pPr>
              <w:spacing w:after="0"/>
              <w:rPr>
                <w:sz w:val="1"/>
                <w:szCs w:val="1"/>
                <w:color w:val="auto"/>
              </w:rPr>
            </w:pPr>
          </w:p>
        </w:tc>
      </w:tr>
      <w:tr>
        <w:trPr>
          <w:trHeight w:val="381"/>
        </w:trPr>
        <w:tc>
          <w:tcPr>
            <w:tcW w:w="9500" w:type="dxa"/>
            <w:vAlign w:val="bottom"/>
          </w:tcPr>
          <w:p>
            <w:pPr>
              <w:ind w:left="20"/>
              <w:spacing w:after="0"/>
              <w:rPr>
                <w:sz w:val="20"/>
                <w:szCs w:val="20"/>
                <w:color w:val="auto"/>
              </w:rPr>
            </w:pPr>
            <w:r>
              <w:rPr>
                <w:rFonts w:ascii="Arial" w:cs="Arial" w:eastAsia="Arial" w:hAnsi="Arial"/>
                <w:sz w:val="14"/>
                <w:szCs w:val="14"/>
                <w:color w:val="auto"/>
              </w:rPr>
              <w:t>1st generation leases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75,326</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2nd generation leases with new clients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615,831</w:t>
            </w:r>
          </w:p>
        </w:tc>
        <w:tc>
          <w:tcPr>
            <w:tcW w:w="0" w:type="dxa"/>
            <w:vAlign w:val="bottom"/>
          </w:tcPr>
          <w:p>
            <w:pPr>
              <w:spacing w:after="0"/>
              <w:rPr>
                <w:sz w:val="1"/>
                <w:szCs w:val="1"/>
                <w:color w:val="auto"/>
              </w:rPr>
            </w:pPr>
          </w:p>
        </w:tc>
      </w:tr>
      <w:tr>
        <w:trPr>
          <w:trHeight w:val="204"/>
        </w:trPr>
        <w:tc>
          <w:tcPr>
            <w:tcW w:w="9500" w:type="dxa"/>
            <w:vAlign w:val="bottom"/>
          </w:tcPr>
          <w:p>
            <w:pPr>
              <w:ind w:left="20"/>
              <w:spacing w:after="0"/>
              <w:rPr>
                <w:sz w:val="20"/>
                <w:szCs w:val="20"/>
                <w:color w:val="auto"/>
              </w:rPr>
            </w:pPr>
            <w:r>
              <w:rPr>
                <w:rFonts w:ascii="Arial" w:cs="Arial" w:eastAsia="Arial" w:hAnsi="Arial"/>
                <w:sz w:val="14"/>
                <w:szCs w:val="14"/>
                <w:color w:val="auto"/>
              </w:rPr>
              <w:t>2nd generation lease renewals</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574,864</w:t>
            </w:r>
          </w:p>
        </w:tc>
        <w:tc>
          <w:tcPr>
            <w:tcW w:w="0" w:type="dxa"/>
            <w:vAlign w:val="bottom"/>
          </w:tcPr>
          <w:p>
            <w:pPr>
              <w:spacing w:after="0"/>
              <w:rPr>
                <w:sz w:val="1"/>
                <w:szCs w:val="1"/>
                <w:color w:val="auto"/>
              </w:rPr>
            </w:pPr>
          </w:p>
        </w:tc>
      </w:tr>
      <w:tr>
        <w:trPr>
          <w:trHeight w:val="198"/>
        </w:trPr>
        <w:tc>
          <w:tcPr>
            <w:tcW w:w="9500" w:type="dxa"/>
            <w:vAlign w:val="bottom"/>
          </w:tcPr>
          <w:p>
            <w:pPr>
              <w:ind w:left="560"/>
              <w:spacing w:after="0"/>
              <w:rPr>
                <w:sz w:val="20"/>
                <w:szCs w:val="20"/>
                <w:color w:val="auto"/>
              </w:rPr>
            </w:pPr>
            <w:r>
              <w:rPr>
                <w:rFonts w:ascii="Arial" w:cs="Arial" w:eastAsia="Arial" w:hAnsi="Arial"/>
                <w:sz w:val="14"/>
                <w:szCs w:val="14"/>
                <w:color w:val="auto"/>
              </w:rPr>
              <w:t>Total leases commenced during the period</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1,266,021</w:t>
            </w:r>
          </w:p>
        </w:tc>
        <w:tc>
          <w:tcPr>
            <w:tcW w:w="0" w:type="dxa"/>
            <w:vAlign w:val="bottom"/>
          </w:tcPr>
          <w:p>
            <w:pPr>
              <w:spacing w:after="0"/>
              <w:rPr>
                <w:sz w:val="1"/>
                <w:szCs w:val="1"/>
                <w:color w:val="auto"/>
              </w:rPr>
            </w:pPr>
          </w:p>
        </w:tc>
      </w:tr>
      <w:tr>
        <w:trPr>
          <w:trHeight w:val="385"/>
        </w:trPr>
        <w:tc>
          <w:tcPr>
            <w:tcW w:w="9500" w:type="dxa"/>
            <w:vAlign w:val="bottom"/>
          </w:tcPr>
          <w:p>
            <w:pPr>
              <w:ind w:left="20"/>
              <w:spacing w:after="0"/>
              <w:rPr>
                <w:sz w:val="20"/>
                <w:szCs w:val="20"/>
                <w:color w:val="auto"/>
              </w:rPr>
            </w:pPr>
            <w:r>
              <w:rPr>
                <w:rFonts w:ascii="Arial" w:cs="Arial" w:eastAsia="Arial" w:hAnsi="Arial"/>
                <w:sz w:val="14"/>
                <w:szCs w:val="14"/>
                <w:color w:val="auto"/>
              </w:rPr>
              <w:t>Vacant space available for lease at the end of the period</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6,321,509</w:t>
            </w:r>
          </w:p>
        </w:tc>
        <w:tc>
          <w:tcPr>
            <w:tcW w:w="0" w:type="dxa"/>
            <w:vAlign w:val="bottom"/>
          </w:tcPr>
          <w:p>
            <w:pPr>
              <w:spacing w:after="0"/>
              <w:rPr>
                <w:sz w:val="1"/>
                <w:szCs w:val="1"/>
                <w:color w:val="auto"/>
              </w:rPr>
            </w:pPr>
          </w:p>
        </w:tc>
      </w:tr>
      <w:tr>
        <w:trPr>
          <w:trHeight w:val="200"/>
        </w:trPr>
        <w:tc>
          <w:tcPr>
            <w:tcW w:w="9500" w:type="dxa"/>
            <w:vAlign w:val="bottom"/>
          </w:tcPr>
          <w:p>
            <w:pPr>
              <w:ind w:left="20"/>
              <w:spacing w:after="0"/>
              <w:rPr>
                <w:sz w:val="20"/>
                <w:szCs w:val="20"/>
                <w:color w:val="auto"/>
              </w:rPr>
            </w:pPr>
            <w:r>
              <w:rPr>
                <w:rFonts w:ascii="Arial" w:cs="Arial" w:eastAsia="Arial" w:hAnsi="Arial"/>
                <w:sz w:val="14"/>
                <w:szCs w:val="14"/>
                <w:color w:val="auto"/>
              </w:rPr>
              <w:t>Net (increase)/decrease in available space</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(32,210)</w:t>
            </w:r>
          </w:p>
        </w:tc>
        <w:tc>
          <w:tcPr>
            <w:tcW w:w="0" w:type="dxa"/>
            <w:vAlign w:val="bottom"/>
          </w:tcPr>
          <w:p>
            <w:pPr>
              <w:spacing w:after="0"/>
              <w:rPr>
                <w:sz w:val="1"/>
                <w:szCs w:val="1"/>
                <w:color w:val="auto"/>
              </w:rPr>
            </w:pPr>
          </w:p>
        </w:tc>
      </w:tr>
      <w:tr>
        <w:trPr>
          <w:trHeight w:val="21"/>
        </w:trPr>
        <w:tc>
          <w:tcPr>
            <w:tcW w:w="9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Second generation leasing information: </w:t>
            </w:r>
            <w:r>
              <w:rPr>
                <w:rFonts w:ascii="Arial" w:cs="Arial" w:eastAsia="Arial" w:hAnsi="Arial"/>
                <w:sz w:val="9"/>
                <w:szCs w:val="9"/>
                <w:b w:val="1"/>
                <w:bCs w:val="1"/>
                <w:color w:val="auto"/>
              </w:rPr>
              <w:t>3</w:t>
            </w: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9500" w:type="dxa"/>
            <w:vAlign w:val="bottom"/>
            <w:tcBorders>
              <w:bottom w:val="single" w:sz="8" w:color="auto"/>
            </w:tcBorders>
            <w:vMerge w:val="continue"/>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500" w:type="dxa"/>
            <w:vAlign w:val="bottom"/>
          </w:tcPr>
          <w:p>
            <w:pPr>
              <w:ind w:left="20"/>
              <w:spacing w:after="0"/>
              <w:rPr>
                <w:sz w:val="20"/>
                <w:szCs w:val="20"/>
                <w:color w:val="auto"/>
              </w:rPr>
            </w:pPr>
            <w:r>
              <w:rPr>
                <w:rFonts w:ascii="Arial" w:cs="Arial" w:eastAsia="Arial" w:hAnsi="Arial"/>
                <w:sz w:val="14"/>
                <w:szCs w:val="14"/>
                <w:color w:val="auto"/>
              </w:rPr>
              <w:t>Leases commencing during the period (SF)</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1,190,695</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Weighted average lease term (months)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Weighted average free rent period (days)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 xml:space="preserve">Total transaction costs per square foot </w:t>
            </w:r>
            <w:r>
              <w:rPr>
                <w:rFonts w:ascii="Arial" w:cs="Arial" w:eastAsia="Arial" w:hAnsi="Arial"/>
                <w:sz w:val="9"/>
                <w:szCs w:val="9"/>
                <w:color w:val="auto"/>
              </w:rPr>
              <w:t>4</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$74.93</w:t>
            </w:r>
          </w:p>
        </w:tc>
        <w:tc>
          <w:tcPr>
            <w:tcW w:w="0" w:type="dxa"/>
            <w:vAlign w:val="bottom"/>
          </w:tcPr>
          <w:p>
            <w:pPr>
              <w:spacing w:after="0"/>
              <w:rPr>
                <w:sz w:val="1"/>
                <w:szCs w:val="1"/>
                <w:color w:val="auto"/>
              </w:rPr>
            </w:pPr>
          </w:p>
        </w:tc>
      </w:tr>
      <w:tr>
        <w:trPr>
          <w:trHeight w:val="202"/>
        </w:trPr>
        <w:tc>
          <w:tcPr>
            <w:tcW w:w="9500" w:type="dxa"/>
            <w:vAlign w:val="bottom"/>
          </w:tcPr>
          <w:p>
            <w:pPr>
              <w:ind w:left="20"/>
              <w:spacing w:after="0"/>
              <w:rPr>
                <w:sz w:val="20"/>
                <w:szCs w:val="20"/>
                <w:color w:val="auto"/>
              </w:rPr>
            </w:pPr>
            <w:r>
              <w:rPr>
                <w:rFonts w:ascii="Arial" w:cs="Arial" w:eastAsia="Arial" w:hAnsi="Arial"/>
                <w:sz w:val="14"/>
                <w:szCs w:val="14"/>
                <w:color w:val="auto"/>
              </w:rPr>
              <w:t xml:space="preserve">Increase (decrease) in gross rents </w:t>
            </w:r>
            <w:r>
              <w:rPr>
                <w:rFonts w:ascii="Arial" w:cs="Arial" w:eastAsia="Arial" w:hAnsi="Arial"/>
                <w:sz w:val="9"/>
                <w:szCs w:val="9"/>
                <w:color w:val="auto"/>
              </w:rPr>
              <w:t>5</w:t>
            </w:r>
          </w:p>
        </w:tc>
        <w:tc>
          <w:tcPr>
            <w:tcW w:w="174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 xml:space="preserve">Increase (decrease) in net rents </w:t>
            </w:r>
            <w:r>
              <w:rPr>
                <w:rFonts w:ascii="Arial" w:cs="Arial" w:eastAsia="Arial" w:hAnsi="Arial"/>
                <w:sz w:val="9"/>
                <w:szCs w:val="9"/>
                <w:color w:val="auto"/>
              </w:rPr>
              <w:t>6</w:t>
            </w:r>
          </w:p>
        </w:tc>
        <w:tc>
          <w:tcPr>
            <w:tcW w:w="174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-4255135</wp:posOffset>
            </wp:positionV>
            <wp:extent cx="25717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3860" w:type="dxa"/>
            <w:vAlign w:val="bottom"/>
            <w:tcBorders>
              <w:bottom w:val="single" w:sz="8" w:color="auto"/>
            </w:tcBorders>
            <w:gridSpan w:val="5"/>
          </w:tcPr>
          <w:p>
            <w:pPr>
              <w:jc w:val="right"/>
              <w:ind w:right="589"/>
              <w:spacing w:after="0"/>
              <w:rPr>
                <w:sz w:val="20"/>
                <w:szCs w:val="20"/>
                <w:color w:val="auto"/>
              </w:rPr>
            </w:pPr>
            <w:r>
              <w:rPr>
                <w:rFonts w:ascii="Arial" w:cs="Arial" w:eastAsia="Arial" w:hAnsi="Arial"/>
                <w:sz w:val="13"/>
                <w:szCs w:val="13"/>
                <w:b w:val="1"/>
                <w:bCs w:val="1"/>
                <w:color w:val="auto"/>
              </w:rPr>
              <w:t>All leases commencing occupancy (SF)</w:t>
            </w:r>
          </w:p>
        </w:tc>
        <w:tc>
          <w:tcPr>
            <w:tcW w:w="2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rPr>
              <w:t>Incr (decr) in 2nd generation cash rents</w:t>
            </w:r>
          </w:p>
        </w:tc>
        <w:tc>
          <w:tcPr>
            <w:tcW w:w="2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rPr>
              <w:t>Total square feet of</w:t>
            </w:r>
          </w:p>
        </w:tc>
        <w:tc>
          <w:tcPr>
            <w:tcW w:w="0" w:type="dxa"/>
            <w:vAlign w:val="bottom"/>
          </w:tcPr>
          <w:p>
            <w:pPr>
              <w:spacing w:after="0"/>
              <w:rPr>
                <w:sz w:val="1"/>
                <w:szCs w:val="1"/>
                <w:color w:val="auto"/>
              </w:rPr>
            </w:pPr>
          </w:p>
        </w:tc>
      </w:tr>
      <w:tr>
        <w:trPr>
          <w:trHeight w:val="115"/>
        </w:trPr>
        <w:tc>
          <w:tcPr>
            <w:tcW w:w="2600" w:type="dxa"/>
            <w:vAlign w:val="bottom"/>
          </w:tcPr>
          <w:p>
            <w:pPr>
              <w:spacing w:after="0"/>
              <w:rPr>
                <w:sz w:val="10"/>
                <w:szCs w:val="10"/>
                <w:color w:val="auto"/>
              </w:rPr>
            </w:pPr>
          </w:p>
        </w:tc>
        <w:tc>
          <w:tcPr>
            <w:tcW w:w="11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1st generation</w:t>
            </w:r>
          </w:p>
        </w:tc>
        <w:tc>
          <w:tcPr>
            <w:tcW w:w="140" w:type="dxa"/>
            <w:vAlign w:val="bottom"/>
            <w:vMerge w:val="restart"/>
          </w:tcPr>
          <w:p>
            <w:pPr>
              <w:spacing w:after="0"/>
              <w:rPr>
                <w:sz w:val="10"/>
                <w:szCs w:val="10"/>
                <w:color w:val="auto"/>
              </w:rPr>
            </w:pPr>
          </w:p>
        </w:tc>
        <w:tc>
          <w:tcPr>
            <w:tcW w:w="12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2nd generation</w:t>
            </w:r>
          </w:p>
        </w:tc>
        <w:tc>
          <w:tcPr>
            <w:tcW w:w="140" w:type="dxa"/>
            <w:vAlign w:val="bottom"/>
            <w:vMerge w:val="restart"/>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total </w:t>
            </w:r>
            <w:r>
              <w:rPr>
                <w:rFonts w:ascii="Arial" w:cs="Arial" w:eastAsia="Arial" w:hAnsi="Arial"/>
                <w:sz w:val="17"/>
                <w:szCs w:val="17"/>
                <w:b w:val="1"/>
                <w:bCs w:val="1"/>
                <w:color w:val="auto"/>
                <w:vertAlign w:val="superscript"/>
              </w:rPr>
              <w:t>7</w:t>
            </w:r>
          </w:p>
        </w:tc>
        <w:tc>
          <w:tcPr>
            <w:tcW w:w="22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gross </w:t>
            </w:r>
            <w:r>
              <w:rPr>
                <w:rFonts w:ascii="Arial" w:cs="Arial" w:eastAsia="Arial" w:hAnsi="Arial"/>
                <w:sz w:val="17"/>
                <w:szCs w:val="17"/>
                <w:b w:val="1"/>
                <w:bCs w:val="1"/>
                <w:color w:val="auto"/>
                <w:vertAlign w:val="superscript"/>
              </w:rPr>
              <w:t>5, 7</w:t>
            </w:r>
          </w:p>
        </w:tc>
        <w:tc>
          <w:tcPr>
            <w:tcW w:w="140" w:type="dxa"/>
            <w:vAlign w:val="bottom"/>
            <w:vMerge w:val="restart"/>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net </w:t>
            </w:r>
            <w:r>
              <w:rPr>
                <w:rFonts w:ascii="Arial" w:cs="Arial" w:eastAsia="Arial" w:hAnsi="Arial"/>
                <w:sz w:val="17"/>
                <w:szCs w:val="17"/>
                <w:b w:val="1"/>
                <w:bCs w:val="1"/>
                <w:color w:val="auto"/>
                <w:vertAlign w:val="superscript"/>
              </w:rPr>
              <w:t>6, 7</w:t>
            </w:r>
          </w:p>
        </w:tc>
        <w:tc>
          <w:tcPr>
            <w:tcW w:w="200" w:type="dxa"/>
            <w:vAlign w:val="bottom"/>
            <w:vMerge w:val="restart"/>
          </w:tcPr>
          <w:p>
            <w:pPr>
              <w:spacing w:after="0"/>
              <w:rPr>
                <w:sz w:val="10"/>
                <w:szCs w:val="10"/>
                <w:color w:val="auto"/>
              </w:rPr>
            </w:pPr>
          </w:p>
        </w:tc>
        <w:tc>
          <w:tcPr>
            <w:tcW w:w="1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leases executed in the</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 xml:space="preserve">quarter </w:t>
            </w:r>
            <w:r>
              <w:rPr>
                <w:rFonts w:ascii="Arial" w:cs="Arial" w:eastAsia="Arial" w:hAnsi="Arial"/>
                <w:sz w:val="17"/>
                <w:szCs w:val="17"/>
                <w:b w:val="1"/>
                <w:bCs w:val="1"/>
                <w:color w:val="auto"/>
                <w:vertAlign w:val="superscript"/>
              </w:rPr>
              <w:t>8</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20"/>
                <w:szCs w:val="20"/>
                <w:color w:val="auto"/>
              </w:rPr>
            </w:pPr>
            <w:r>
              <w:rPr>
                <w:rFonts w:ascii="Arial" w:cs="Arial" w:eastAsia="Arial" w:hAnsi="Arial"/>
                <w:sz w:val="14"/>
                <w:szCs w:val="14"/>
                <w:color w:val="auto"/>
              </w:rPr>
              <w:t>Boston</w:t>
            </w:r>
          </w:p>
        </w:tc>
        <w:tc>
          <w:tcPr>
            <w:tcW w:w="1180" w:type="dxa"/>
            <w:vAlign w:val="bottom"/>
          </w:tcPr>
          <w:p>
            <w:pPr>
              <w:jc w:val="right"/>
              <w:spacing w:after="0"/>
              <w:rPr>
                <w:sz w:val="20"/>
                <w:szCs w:val="20"/>
                <w:color w:val="auto"/>
              </w:rPr>
            </w:pPr>
            <w:r>
              <w:rPr>
                <w:rFonts w:ascii="Arial" w:cs="Arial" w:eastAsia="Arial" w:hAnsi="Arial"/>
                <w:sz w:val="14"/>
                <w:szCs w:val="14"/>
                <w:color w:val="auto"/>
              </w:rPr>
              <w:t>11,083</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410,300</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421,383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1.47 %</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3.14 %</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647,087</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Los Angeles</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23,005</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23,005</w:t>
            </w: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30,534</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New York</w:t>
            </w:r>
          </w:p>
        </w:tc>
        <w:tc>
          <w:tcPr>
            <w:tcW w:w="1180" w:type="dxa"/>
            <w:vAlign w:val="bottom"/>
          </w:tcPr>
          <w:p>
            <w:pPr>
              <w:jc w:val="right"/>
              <w:spacing w:after="0"/>
              <w:rPr>
                <w:sz w:val="20"/>
                <w:szCs w:val="20"/>
                <w:color w:val="auto"/>
              </w:rPr>
            </w:pPr>
            <w:r>
              <w:rPr>
                <w:rFonts w:ascii="Arial" w:cs="Arial" w:eastAsia="Arial" w:hAnsi="Arial"/>
                <w:sz w:val="14"/>
                <w:szCs w:val="14"/>
                <w:color w:val="auto"/>
              </w:rPr>
              <w:t>32,682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607,887</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640,569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(6.81)%</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(10.60)%</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142,523</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San Francisco</w:t>
            </w:r>
          </w:p>
        </w:tc>
        <w:tc>
          <w:tcPr>
            <w:tcW w:w="1180" w:type="dxa"/>
            <w:vAlign w:val="bottom"/>
          </w:tcPr>
          <w:p>
            <w:pPr>
              <w:jc w:val="right"/>
              <w:spacing w:after="0"/>
              <w:rPr>
                <w:sz w:val="20"/>
                <w:szCs w:val="20"/>
                <w:color w:val="auto"/>
              </w:rPr>
            </w:pPr>
            <w:r>
              <w:rPr>
                <w:rFonts w:ascii="Arial" w:cs="Arial" w:eastAsia="Arial" w:hAnsi="Arial"/>
                <w:sz w:val="14"/>
                <w:szCs w:val="14"/>
                <w:color w:val="auto"/>
              </w:rPr>
              <w:t>22,365</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68,134</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90,499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(4.80)%</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(6.69)%</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109,060</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Seattle</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24,210</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24,210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(4.11)%</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(6.15)%</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24,057</w:t>
            </w:r>
          </w:p>
        </w:tc>
        <w:tc>
          <w:tcPr>
            <w:tcW w:w="0" w:type="dxa"/>
            <w:vAlign w:val="bottom"/>
          </w:tcPr>
          <w:p>
            <w:pPr>
              <w:spacing w:after="0"/>
              <w:rPr>
                <w:sz w:val="1"/>
                <w:szCs w:val="1"/>
                <w:color w:val="auto"/>
              </w:rPr>
            </w:pPr>
          </w:p>
        </w:tc>
      </w:tr>
      <w:tr>
        <w:trPr>
          <w:trHeight w:val="206"/>
        </w:trPr>
        <w:tc>
          <w:tcPr>
            <w:tcW w:w="2600" w:type="dxa"/>
            <w:vAlign w:val="bottom"/>
          </w:tcPr>
          <w:p>
            <w:pPr>
              <w:spacing w:after="0"/>
              <w:rPr>
                <w:sz w:val="20"/>
                <w:szCs w:val="20"/>
                <w:color w:val="auto"/>
              </w:rPr>
            </w:pPr>
            <w:r>
              <w:rPr>
                <w:rFonts w:ascii="Arial" w:cs="Arial" w:eastAsia="Arial" w:hAnsi="Arial"/>
                <w:sz w:val="14"/>
                <w:szCs w:val="14"/>
                <w:color w:val="auto"/>
              </w:rPr>
              <w:t>Washington, DC</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9,196</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57,159</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66,355</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w:t>
            </w: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155,196</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Arial" w:cs="Arial" w:eastAsia="Arial" w:hAnsi="Arial"/>
                <w:sz w:val="14"/>
                <w:szCs w:val="14"/>
                <w:color w:val="auto"/>
              </w:rPr>
              <w:t>Total / Weighted Average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75,326</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1,190,695</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1,266,021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(6.81)%</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1,108,457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right="2540" w:firstLine="8"/>
        <w:spacing w:after="0" w:line="259" w:lineRule="auto"/>
        <w:tabs>
          <w:tab w:leader="none" w:pos="79"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 xml:space="preserve">Total square feet of property taken out of service in Q3 2024 consists of 205,355 at 1100 Winter Street and 111,183 at Kingstowne One. </w:t>
      </w:r>
      <w:r>
        <w:rPr>
          <w:rFonts w:ascii="Arial" w:cs="Arial" w:eastAsia="Arial" w:hAnsi="Arial"/>
          <w:sz w:val="9"/>
          <w:szCs w:val="9"/>
          <w:color w:val="auto"/>
        </w:rPr>
        <w:t xml:space="preserve">2 </w:t>
      </w:r>
      <w:r>
        <w:rPr>
          <w:rFonts w:ascii="Arial" w:cs="Arial" w:eastAsia="Arial" w:hAnsi="Arial"/>
          <w:sz w:val="14"/>
          <w:szCs w:val="14"/>
          <w:color w:val="auto"/>
        </w:rPr>
        <w:t>Total square feet of properties placed in service in Q3 2024 consists of 22,365 at 651 Gateway and 187,048 at 180 CityPoint.</w:t>
      </w:r>
    </w:p>
    <w:p>
      <w:pPr>
        <w:spacing w:after="0" w:line="9" w:lineRule="exact"/>
        <w:rPr>
          <w:sz w:val="20"/>
          <w:szCs w:val="20"/>
          <w:color w:val="auto"/>
        </w:rPr>
      </w:pPr>
    </w:p>
    <w:p>
      <w:pPr>
        <w:ind w:left="80" w:right="140" w:hanging="72"/>
        <w:spacing w:after="0" w:line="238" w:lineRule="auto"/>
        <w:tabs>
          <w:tab w:leader="none" w:pos="78"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Second generation leases are defined as leases for space that has previously been leased. Of the 1,190,695 square feet of second generation leases that commenced in Q3 2024, leases for 881,793 square feet were signed in prior periods.</w:t>
      </w:r>
    </w:p>
    <w:p>
      <w:pPr>
        <w:ind w:left="80" w:hanging="72"/>
        <w:spacing w:after="0" w:line="223" w:lineRule="auto"/>
        <w:tabs>
          <w:tab w:leader="none" w:pos="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Total transaction costs include tenant improvements and leasing commissions, but exclude free rent concessions.</w:t>
      </w:r>
    </w:p>
    <w:p>
      <w:pPr>
        <w:spacing w:after="0" w:line="27" w:lineRule="exact"/>
        <w:rPr>
          <w:sz w:val="20"/>
          <w:szCs w:val="20"/>
          <w:color w:val="auto"/>
        </w:rPr>
      </w:pPr>
    </w:p>
    <w:p>
      <w:pPr>
        <w:ind w:left="80" w:right="60" w:hanging="72"/>
        <w:spacing w:after="0" w:line="268" w:lineRule="auto"/>
        <w:tabs>
          <w:tab w:leader="none" w:pos="78" w:val="left"/>
        </w:tabs>
        <w:numPr>
          <w:ilvl w:val="0"/>
          <w:numId w:val="49"/>
        </w:numPr>
        <w:rPr>
          <w:rFonts w:ascii="Arial" w:cs="Arial" w:eastAsia="Arial" w:hAnsi="Arial"/>
          <w:sz w:val="9"/>
          <w:szCs w:val="9"/>
          <w:color w:val="auto"/>
        </w:rPr>
      </w:pPr>
      <w:r>
        <w:rPr>
          <w:rFonts w:ascii="Arial" w:cs="Arial" w:eastAsia="Arial" w:hAnsi="Arial"/>
          <w:sz w:val="14"/>
          <w:szCs w:val="14"/>
          <w:color w:val="auto"/>
        </w:rPr>
        <w:t>Represents the increase/(decrease) in gross rent (base rent plus expense reimbursements) on the new vs. expired leases on the 896,196 square feet of second generation leases that had been occupied within the prior 12 months; excludes leases that management considers temporary because the client is not expected to occupy the space on a long-term basis.</w:t>
      </w:r>
    </w:p>
    <w:p>
      <w:pPr>
        <w:ind w:left="80" w:hanging="72"/>
        <w:spacing w:after="0" w:line="297" w:lineRule="auto"/>
        <w:tabs>
          <w:tab w:leader="none" w:pos="78" w:val="left"/>
        </w:tabs>
        <w:numPr>
          <w:ilvl w:val="0"/>
          <w:numId w:val="50"/>
        </w:numPr>
        <w:rPr>
          <w:rFonts w:ascii="Arial" w:cs="Arial" w:eastAsia="Arial" w:hAnsi="Arial"/>
          <w:sz w:val="9"/>
          <w:szCs w:val="9"/>
          <w:color w:val="auto"/>
        </w:rPr>
      </w:pPr>
      <w:r>
        <w:rPr>
          <w:rFonts w:ascii="Arial" w:cs="Arial" w:eastAsia="Arial" w:hAnsi="Arial"/>
          <w:sz w:val="14"/>
          <w:szCs w:val="14"/>
          <w:color w:val="auto"/>
        </w:rPr>
        <w:t>Represents the increase/(decrease) in net rent (gross rent less operating expenses) on the new vs. expired leases on the 896,196 square feet of second generation leases that had been occupied within the prior 12 months; excludes leases that management considers temporary because the client is not expected to occupy the space on a long-term basis.</w:t>
      </w:r>
    </w:p>
    <w:p>
      <w:pPr>
        <w:spacing w:after="0" w:line="140" w:lineRule="exact"/>
        <w:rPr>
          <w:sz w:val="20"/>
          <w:szCs w:val="20"/>
          <w:color w:val="auto"/>
        </w:rPr>
      </w:pPr>
    </w:p>
    <w:p>
      <w:pPr>
        <w:ind w:left="80" w:hanging="72"/>
        <w:spacing w:after="0"/>
        <w:tabs>
          <w:tab w:leader="none" w:pos="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Represents leases for which rental revenue recognition commenced in accordance with GAAP during the quarter.</w:t>
      </w:r>
    </w:p>
    <w:p>
      <w:pPr>
        <w:spacing w:after="0" w:line="18" w:lineRule="exact"/>
        <w:rPr>
          <w:sz w:val="20"/>
          <w:szCs w:val="20"/>
          <w:color w:val="auto"/>
        </w:rPr>
      </w:pPr>
    </w:p>
    <w:p>
      <w:pPr>
        <w:ind w:left="80" w:right="180" w:hanging="72"/>
        <w:spacing w:after="0" w:line="244" w:lineRule="auto"/>
        <w:tabs>
          <w:tab w:leader="none" w:pos="78"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Represents leases executed in the quarter for which the Company either (1) commenced rental revenue recognition in such quarter or (2) will commence rental revenue recognition in subsequent quarters, in accordance with GAAP, and includes leases at properties currently under development. The total square feet of leases executed in the current quarter for which the Company recognized rental revenue in the current quarter is 319,985.</w:t>
      </w:r>
    </w:p>
    <w:p>
      <w:pPr>
        <w:sectPr>
          <w:pgSz w:w="11900" w:h="16838" w:orient="portrait"/>
          <w:cols w:equalWidth="0" w:num="1">
            <w:col w:w="11240"/>
          </w:cols>
          <w:pgMar w:left="320" w:top="279" w:right="339" w:bottom="1440" w:gutter="0" w:footer="0" w:header="0"/>
        </w:sectPr>
      </w:pPr>
    </w:p>
    <w:p>
      <w:pPr>
        <w:spacing w:after="0" w:line="21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279" w:right="339" w:bottom="1440" w:gutter="0" w:footer="0" w:header="0"/>
          <w:type w:val="continuous"/>
        </w:sectPr>
      </w:pPr>
    </w:p>
    <w:bookmarkStart w:id="26" w:name="page27"/>
    <w:bookmarkEnd w:id="26"/>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Portfolio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Rentable square footage of in-service properties by location and unit type </w:t>
      </w:r>
      <w:r>
        <w:rPr>
          <w:rFonts w:ascii="Arial" w:cs="Arial" w:eastAsia="Arial" w:hAnsi="Arial"/>
          <w:sz w:val="9"/>
          <w:szCs w:val="9"/>
          <w:b w:val="1"/>
          <w:bCs w:val="1"/>
          <w:i w:val="1"/>
          <w:iCs w:val="1"/>
          <w:color w:val="auto"/>
        </w:rPr>
        <w:t>1, 2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Office</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Retail</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Hotel</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Boston</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14,477,936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1,167,129</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550,114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330,000</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16,525,179</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2,187,830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123,534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2,311,364</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12,122,098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486,455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12,608,553</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7,229,603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342,844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color w:val="auto"/>
              </w:rPr>
              <w:t>318,171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7,890,618</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Seattle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1,504,622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12,518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1,517,140</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8,321,032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623,984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color w:val="auto"/>
              </w:rPr>
              <w:t>493,241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9,438,257</w:t>
            </w:r>
          </w:p>
        </w:tc>
        <w:tc>
          <w:tcPr>
            <w:tcW w:w="0" w:type="dxa"/>
            <w:vAlign w:val="bottom"/>
          </w:tcPr>
          <w:p>
            <w:pPr>
              <w:spacing w:after="0"/>
              <w:rPr>
                <w:sz w:val="1"/>
                <w:szCs w:val="1"/>
                <w:color w:val="auto"/>
              </w:rPr>
            </w:pPr>
          </w:p>
        </w:tc>
      </w:tr>
      <w:tr>
        <w:trPr>
          <w:trHeight w:val="200"/>
        </w:trPr>
        <w:tc>
          <w:tcPr>
            <w:tcW w:w="4320" w:type="dxa"/>
            <w:vAlign w:val="bottom"/>
          </w:tcPr>
          <w:p>
            <w:pPr>
              <w:ind w:left="2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45,843,121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2,756,464</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1,361,526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330,000</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50,291,111</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4"/>
                <w:szCs w:val="14"/>
                <w:color w:val="auto"/>
              </w:rPr>
              <w:t>% of Total</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91.16 %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5.47 %</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2.71 %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0.66 %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817"/>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Rental revenue of in-service properties by unit type </w:t>
            </w:r>
            <w:r>
              <w:rPr>
                <w:rFonts w:ascii="Arial" w:cs="Arial" w:eastAsia="Arial" w:hAnsi="Arial"/>
                <w:sz w:val="18"/>
                <w:szCs w:val="18"/>
                <w:b w:val="1"/>
                <w:bCs w:val="1"/>
                <w:i w:val="1"/>
                <w:iCs w:val="1"/>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center"/>
              <w:ind w:right="180"/>
              <w:spacing w:after="0" w:line="202" w:lineRule="exact"/>
              <w:rPr>
                <w:sz w:val="20"/>
                <w:szCs w:val="20"/>
                <w:color w:val="auto"/>
              </w:rPr>
            </w:pPr>
            <w:r>
              <w:rPr>
                <w:rFonts w:ascii="Arial" w:cs="Arial" w:eastAsia="Arial" w:hAnsi="Arial"/>
                <w:sz w:val="14"/>
                <w:szCs w:val="14"/>
                <w:b w:val="1"/>
                <w:bCs w:val="1"/>
                <w:color w:val="auto"/>
              </w:rPr>
              <w:t xml:space="preserve">Hotel </w:t>
            </w:r>
            <w:r>
              <w:rPr>
                <w:rFonts w:ascii="Arial" w:cs="Arial" w:eastAsia="Arial" w:hAnsi="Arial"/>
                <w:sz w:val="18"/>
                <w:szCs w:val="18"/>
                <w:b w:val="1"/>
                <w:bCs w:val="1"/>
                <w:color w:val="auto"/>
                <w:vertAlign w:val="superscript"/>
              </w:rPr>
              <w:t>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Consolidated</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755,826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66,555</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11,441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14,986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848,808</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Less: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180"/>
              <w:spacing w:after="0"/>
              <w:rPr>
                <w:sz w:val="20"/>
                <w:szCs w:val="20"/>
                <w:color w:val="auto"/>
              </w:rPr>
            </w:pPr>
            <w:r>
              <w:rPr>
                <w:rFonts w:ascii="Arial" w:cs="Arial" w:eastAsia="Arial" w:hAnsi="Arial"/>
                <w:sz w:val="14"/>
                <w:szCs w:val="14"/>
                <w:color w:val="auto"/>
              </w:rPr>
              <w:t xml:space="preserve">Partners’ share from consolidated joint ventures </w:t>
            </w:r>
            <w:r>
              <w:rPr>
                <w:rFonts w:ascii="Arial" w:cs="Arial" w:eastAsia="Arial" w:hAnsi="Arial"/>
                <w:sz w:val="18"/>
                <w:szCs w:val="18"/>
                <w:color w:val="auto"/>
                <w:vertAlign w:val="superscript"/>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68,828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10,091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78,919</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Add: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Pr>
          <w:p>
            <w:pPr>
              <w:ind w:left="180"/>
              <w:spacing w:after="0"/>
              <w:rPr>
                <w:sz w:val="20"/>
                <w:szCs w:val="20"/>
                <w:color w:val="auto"/>
              </w:rPr>
            </w:pPr>
            <w:r>
              <w:rPr>
                <w:rFonts w:ascii="Arial" w:cs="Arial" w:eastAsia="Arial" w:hAnsi="Arial"/>
                <w:sz w:val="14"/>
                <w:szCs w:val="14"/>
                <w:color w:val="auto"/>
              </w:rPr>
              <w:t xml:space="preserve">BXP’s share from unconsolidated joint ventures </w:t>
            </w:r>
            <w:r>
              <w:rPr>
                <w:rFonts w:ascii="Arial" w:cs="Arial" w:eastAsia="Arial" w:hAnsi="Arial"/>
                <w:sz w:val="18"/>
                <w:szCs w:val="18"/>
                <w:color w:val="auto"/>
                <w:vertAlign w:val="superscript"/>
              </w:rPr>
              <w:t>5</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49,507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2,395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2,907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54,809</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1</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736,505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58,859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14,348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14,986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824,698</w:t>
            </w:r>
          </w:p>
        </w:tc>
        <w:tc>
          <w:tcPr>
            <w:tcW w:w="0" w:type="dxa"/>
            <w:vAlign w:val="bottom"/>
          </w:tcPr>
          <w:p>
            <w:pPr>
              <w:spacing w:after="0"/>
              <w:rPr>
                <w:sz w:val="1"/>
                <w:szCs w:val="1"/>
                <w:color w:val="auto"/>
              </w:rPr>
            </w:pPr>
          </w:p>
        </w:tc>
      </w:tr>
      <w:tr>
        <w:trPr>
          <w:trHeight w:val="21"/>
        </w:trPr>
        <w:tc>
          <w:tcPr>
            <w:tcW w:w="4320" w:type="dxa"/>
            <w:vAlign w:val="bottom"/>
            <w:vMerge w:val="restart"/>
          </w:tcPr>
          <w:p>
            <w:pPr>
              <w:ind w:left="220"/>
              <w:spacing w:after="0"/>
              <w:rPr>
                <w:sz w:val="20"/>
                <w:szCs w:val="20"/>
                <w:color w:val="auto"/>
              </w:rPr>
            </w:pPr>
            <w:r>
              <w:rPr>
                <w:rFonts w:ascii="Arial" w:cs="Arial" w:eastAsia="Arial" w:hAnsi="Arial"/>
                <w:sz w:val="14"/>
                <w:szCs w:val="14"/>
                <w:color w:val="auto"/>
              </w:rPr>
              <w:t>% of Total</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89.31 %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7.13 %</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1.74 %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1.82 %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815"/>
        </w:trPr>
        <w:tc>
          <w:tcPr>
            <w:tcW w:w="71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i w:val="1"/>
                <w:iCs w:val="1"/>
                <w:color w:val="auto"/>
              </w:rPr>
              <w:t xml:space="preserve">Percentage of BXP’s Share of net operating income (NOI) (excluding termination income) by location </w:t>
            </w:r>
            <w:r>
              <w:rPr>
                <w:rFonts w:ascii="Arial" w:cs="Arial" w:eastAsia="Arial" w:hAnsi="Arial"/>
                <w:sz w:val="18"/>
                <w:szCs w:val="18"/>
                <w:b w:val="1"/>
                <w:bCs w:val="1"/>
                <w:i w:val="1"/>
                <w:iCs w:val="1"/>
                <w:color w:val="auto"/>
                <w:vertAlign w:val="superscript"/>
              </w:rPr>
              <w:t>1, 6</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b w:val="1"/>
                <w:bCs w:val="1"/>
                <w:color w:val="auto"/>
              </w:rPr>
              <w:t>CBD</w:t>
            </w:r>
          </w:p>
        </w:tc>
        <w:tc>
          <w:tcPr>
            <w:tcW w:w="180" w:type="dxa"/>
            <w:vAlign w:val="bottom"/>
          </w:tcPr>
          <w:p>
            <w:pPr>
              <w:spacing w:after="0"/>
              <w:rPr>
                <w:sz w:val="17"/>
                <w:szCs w:val="17"/>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Suburban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Boston</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31.67 %</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6.75 %</w:t>
            </w: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38.42 %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3.73 %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3.73 %</w:t>
            </w:r>
          </w:p>
        </w:tc>
        <w:tc>
          <w:tcPr>
            <w:tcW w:w="0" w:type="dxa"/>
            <w:vAlign w:val="bottom"/>
          </w:tcPr>
          <w:p>
            <w:pPr>
              <w:spacing w:after="0"/>
              <w:rPr>
                <w:sz w:val="1"/>
                <w:szCs w:val="1"/>
                <w:color w:val="auto"/>
              </w:rPr>
            </w:pPr>
          </w:p>
        </w:tc>
      </w:tr>
      <w:tr>
        <w:trPr>
          <w:trHeight w:val="202"/>
        </w:trPr>
        <w:tc>
          <w:tcPr>
            <w:tcW w:w="432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22.44 %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1.54 %</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23.98 %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14.78 %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1.99 %</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16.77 %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Seattle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1.92 %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Arial" w:cs="Arial" w:eastAsia="Arial" w:hAnsi="Arial"/>
                <w:sz w:val="14"/>
                <w:szCs w:val="14"/>
                <w:color w:val="auto"/>
              </w:rPr>
              <w:t xml:space="preserve">Washington, DC </w:t>
            </w:r>
            <w:r>
              <w:rPr>
                <w:rFonts w:ascii="Arial" w:cs="Arial" w:eastAsia="Arial" w:hAnsi="Arial"/>
                <w:sz w:val="18"/>
                <w:szCs w:val="18"/>
                <w:color w:val="auto"/>
                <w:vertAlign w:val="superscript"/>
              </w:rPr>
              <w:t>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14.98 %</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0.20 %</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15.18 %</w:t>
            </w:r>
          </w:p>
        </w:tc>
        <w:tc>
          <w:tcPr>
            <w:tcW w:w="0" w:type="dxa"/>
            <w:vAlign w:val="bottom"/>
          </w:tcPr>
          <w:p>
            <w:pPr>
              <w:spacing w:after="0"/>
              <w:rPr>
                <w:sz w:val="1"/>
                <w:szCs w:val="1"/>
                <w:color w:val="auto"/>
              </w:rPr>
            </w:pPr>
          </w:p>
        </w:tc>
      </w:tr>
      <w:tr>
        <w:trPr>
          <w:trHeight w:val="196"/>
        </w:trPr>
        <w:tc>
          <w:tcPr>
            <w:tcW w:w="4320" w:type="dxa"/>
            <w:vAlign w:val="bottom"/>
          </w:tcPr>
          <w:p>
            <w:pPr>
              <w:ind w:left="22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89.52 %</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10.48 %</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spacing w:after="0" w:line="26" w:lineRule="exact"/>
        <w:rPr>
          <w:sz w:val="20"/>
          <w:szCs w:val="20"/>
          <w:color w:val="auto"/>
        </w:rPr>
      </w:pPr>
    </w:p>
    <w:p>
      <w:pPr>
        <w:ind w:left="80" w:hanging="72"/>
        <w:spacing w:after="0"/>
        <w:tabs>
          <w:tab w:leader="none" w:pos="80" w:val="left"/>
        </w:tabs>
        <w:numPr>
          <w:ilvl w:val="0"/>
          <w:numId w:val="54"/>
        </w:numPr>
        <w:rPr>
          <w:rFonts w:ascii="Arial" w:cs="Arial" w:eastAsia="Arial" w:hAnsi="Arial"/>
          <w:sz w:val="9"/>
          <w:szCs w:val="9"/>
          <w:color w:val="auto"/>
        </w:rPr>
      </w:pPr>
      <w:r>
        <w:rPr>
          <w:rFonts w:ascii="Arial" w:cs="Arial" w:eastAsia="Arial" w:hAnsi="Arial"/>
          <w:sz w:val="14"/>
          <w:szCs w:val="14"/>
          <w:color w:val="auto"/>
        </w:rPr>
        <w:t>Includes 100% of the rentable square footage of the Company’s In-Service Properties. For additional detail relating to the Company’s In-Service Properties, see pages 22-25.</w:t>
      </w:r>
    </w:p>
    <w:p>
      <w:pPr>
        <w:spacing w:after="0" w:line="3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approximately $96 of revenue from retail clients that is included in Retail.</w:t>
      </w:r>
    </w:p>
    <w:p>
      <w:pPr>
        <w:spacing w:after="0" w:line="1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See page 64 for additional information.</w:t>
      </w:r>
    </w:p>
    <w:p>
      <w:pPr>
        <w:spacing w:after="0" w:line="9" w:lineRule="exact"/>
        <w:rPr>
          <w:rFonts w:ascii="Arial" w:cs="Arial" w:eastAsia="Arial" w:hAnsi="Arial"/>
          <w:sz w:val="9"/>
          <w:szCs w:val="9"/>
          <w:color w:val="auto"/>
        </w:rPr>
      </w:pPr>
    </w:p>
    <w:p>
      <w:pPr>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See page 66 for additional information.</w:t>
      </w:r>
    </w:p>
    <w:p>
      <w:pPr>
        <w:ind w:left="80" w:right="240" w:hanging="81"/>
        <w:spacing w:after="0" w:line="229" w:lineRule="auto"/>
        <w:rPr>
          <w:rFonts w:ascii="Arial" w:cs="Arial" w:eastAsia="Arial" w:hAnsi="Arial"/>
          <w:sz w:val="9"/>
          <w:szCs w:val="9"/>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BXP’s Share of NOI (excluding termination income) is a non-GAAP financial measure. For a quantitative reconciliation of net income (loss) attributable to BXP, Inc. to BXP’s Share of NOI (excluding termination income), see page 9.</w:t>
      </w:r>
    </w:p>
    <w:p>
      <w:pPr>
        <w:spacing w:after="0" w:line="12" w:lineRule="exact"/>
        <w:rPr>
          <w:rFonts w:ascii="Arial" w:cs="Arial" w:eastAsia="Arial" w:hAnsi="Arial"/>
          <w:sz w:val="9"/>
          <w:szCs w:val="9"/>
          <w:color w:val="auto"/>
        </w:rPr>
      </w:pPr>
    </w:p>
    <w:p>
      <w:pPr>
        <w:ind w:left="80" w:right="280" w:hanging="81"/>
        <w:spacing w:after="0" w:line="283" w:lineRule="auto"/>
        <w:rPr>
          <w:rFonts w:ascii="Arial" w:cs="Arial" w:eastAsia="Arial" w:hAnsi="Arial"/>
          <w:sz w:val="9"/>
          <w:szCs w:val="9"/>
          <w:color w:val="auto"/>
        </w:rPr>
      </w:pPr>
      <w:r>
        <w:rPr>
          <w:rFonts w:ascii="Arial" w:cs="Arial" w:eastAsia="Arial" w:hAnsi="Arial"/>
          <w:sz w:val="9"/>
          <w:szCs w:val="9"/>
          <w:color w:val="auto"/>
        </w:rPr>
        <w:t xml:space="preserve">7 </w:t>
      </w:r>
      <w:r>
        <w:rPr>
          <w:rFonts w:ascii="Arial" w:cs="Arial" w:eastAsia="Arial" w:hAnsi="Arial"/>
          <w:sz w:val="14"/>
          <w:szCs w:val="14"/>
          <w:color w:val="auto"/>
        </w:rPr>
        <w:t>During the first quarter of 2024, the Company reassessed the classifications of its assets as either CBD or Suburban and determined that certain assets such as those in</w:t>
      </w:r>
      <w:r>
        <w:rPr>
          <w:rFonts w:ascii="Arial" w:cs="Arial" w:eastAsia="Arial" w:hAnsi="Arial"/>
          <w:sz w:val="9"/>
          <w:szCs w:val="9"/>
          <w:color w:val="auto"/>
        </w:rPr>
        <w:t xml:space="preserve"> </w:t>
      </w:r>
      <w:r>
        <w:rPr>
          <w:rFonts w:ascii="Arial" w:cs="Arial" w:eastAsia="Arial" w:hAnsi="Arial"/>
          <w:sz w:val="14"/>
          <w:szCs w:val="14"/>
          <w:color w:val="auto"/>
        </w:rPr>
        <w:t>Reston, Virginia are located in areas with characteristics that more closely align with our definition of CBD due to their diverse live, work, and play environment. As a result, these assets are classified as CBD.</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279" w:right="339" w:bottom="1440" w:gutter="0" w:footer="0" w:header="0"/>
          <w:type w:val="continuous"/>
        </w:sectPr>
      </w:pPr>
    </w:p>
    <w:bookmarkStart w:id="27" w:name="page28"/>
    <w:bookmarkEnd w:id="27"/>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Residential and hotel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rental rates)</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 xml:space="preserve">Residential </w:t>
            </w:r>
            <w:r>
              <w:rPr>
                <w:rFonts w:ascii="Arial" w:cs="Arial" w:eastAsia="Arial" w:hAnsi="Arial"/>
                <w:sz w:val="18"/>
                <w:szCs w:val="18"/>
                <w:b w:val="1"/>
                <w:bCs w:val="1"/>
                <w:color w:val="auto"/>
                <w:vertAlign w:val="superscript"/>
              </w:rPr>
              <w:t>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Hotel</w:t>
            </w: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30-Sep-24</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30-Jun-24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30-Sep-24</w:t>
            </w:r>
          </w:p>
        </w:tc>
        <w:tc>
          <w:tcPr>
            <w:tcW w:w="26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202"/>
        </w:trPr>
        <w:tc>
          <w:tcPr>
            <w:tcW w:w="5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2</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12,117</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12,226</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15,082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14,812</w:t>
            </w:r>
          </w:p>
        </w:tc>
        <w:tc>
          <w:tcPr>
            <w:tcW w:w="0" w:type="dxa"/>
            <w:vAlign w:val="bottom"/>
          </w:tcPr>
          <w:p>
            <w:pPr>
              <w:spacing w:after="0"/>
              <w:rPr>
                <w:sz w:val="1"/>
                <w:szCs w:val="1"/>
                <w:color w:val="auto"/>
              </w:rPr>
            </w:pPr>
          </w:p>
        </w:tc>
      </w:tr>
      <w:tr>
        <w:trPr>
          <w:trHeight w:val="192"/>
        </w:trPr>
        <w:tc>
          <w:tcPr>
            <w:tcW w:w="5120" w:type="dxa"/>
            <w:vAlign w:val="bottom"/>
          </w:tcPr>
          <w:p>
            <w:pPr>
              <w:ind w:left="20"/>
              <w:spacing w:after="0"/>
              <w:rPr>
                <w:sz w:val="20"/>
                <w:szCs w:val="20"/>
                <w:color w:val="auto"/>
              </w:rPr>
            </w:pPr>
            <w:r>
              <w:rPr>
                <w:rFonts w:ascii="Arial" w:cs="Arial" w:eastAsia="Arial" w:hAnsi="Arial"/>
                <w:sz w:val="14"/>
                <w:szCs w:val="14"/>
                <w:color w:val="auto"/>
              </w:rPr>
              <w:t>Less: Operating expenses and real estate taxes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5,988</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5,739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9,833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9,839</w:t>
            </w:r>
          </w:p>
        </w:tc>
        <w:tc>
          <w:tcPr>
            <w:tcW w:w="0" w:type="dxa"/>
            <w:vAlign w:val="bottom"/>
          </w:tcPr>
          <w:p>
            <w:pPr>
              <w:spacing w:after="0"/>
              <w:rPr>
                <w:sz w:val="1"/>
                <w:szCs w:val="1"/>
                <w:color w:val="auto"/>
              </w:rPr>
            </w:pPr>
          </w:p>
        </w:tc>
      </w:tr>
      <w:tr>
        <w:trPr>
          <w:trHeight w:val="204"/>
        </w:trPr>
        <w:tc>
          <w:tcPr>
            <w:tcW w:w="5120" w:type="dxa"/>
            <w:vAlign w:val="bottom"/>
          </w:tcPr>
          <w:p>
            <w:pPr>
              <w:ind w:left="220"/>
              <w:spacing w:after="0" w:line="204" w:lineRule="exact"/>
              <w:rPr>
                <w:sz w:val="20"/>
                <w:szCs w:val="20"/>
                <w:color w:val="auto"/>
              </w:rPr>
            </w:pPr>
            <w:r>
              <w:rPr>
                <w:rFonts w:ascii="Arial" w:cs="Arial" w:eastAsia="Arial" w:hAnsi="Arial"/>
                <w:sz w:val="14"/>
                <w:szCs w:val="14"/>
                <w:color w:val="auto"/>
              </w:rPr>
              <w:t xml:space="preserve">Net Operating Income (NOI)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6,129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6,487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4,973</w:t>
            </w:r>
          </w:p>
        </w:tc>
        <w:tc>
          <w:tcPr>
            <w:tcW w:w="0" w:type="dxa"/>
            <w:vAlign w:val="bottom"/>
          </w:tcPr>
          <w:p>
            <w:pPr>
              <w:spacing w:after="0"/>
              <w:rPr>
                <w:sz w:val="1"/>
                <w:szCs w:val="1"/>
                <w:color w:val="auto"/>
              </w:rPr>
            </w:pPr>
          </w:p>
        </w:tc>
      </w:tr>
      <w:tr>
        <w:trPr>
          <w:trHeight w:val="201"/>
        </w:trPr>
        <w:tc>
          <w:tcPr>
            <w:tcW w:w="51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Add: BXP’s share of NOI from unconsolidated joint ventures </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1,747</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w:t>
            </w:r>
          </w:p>
        </w:tc>
        <w:tc>
          <w:tcPr>
            <w:tcW w:w="260" w:type="dxa"/>
            <w:vAlign w:val="bottom"/>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5120" w:type="dxa"/>
            <w:vAlign w:val="bottom"/>
          </w:tcPr>
          <w:p>
            <w:pPr>
              <w:ind w:left="220"/>
              <w:spacing w:after="0" w:line="196" w:lineRule="exact"/>
              <w:rPr>
                <w:sz w:val="20"/>
                <w:szCs w:val="20"/>
                <w:color w:val="auto"/>
              </w:rPr>
            </w:pPr>
            <w:r>
              <w:rPr>
                <w:rFonts w:ascii="Arial" w:cs="Arial" w:eastAsia="Arial" w:hAnsi="Arial"/>
                <w:sz w:val="14"/>
                <w:szCs w:val="14"/>
                <w:color w:val="auto"/>
              </w:rPr>
              <w:t xml:space="preserve">BXP’s Share of NOI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7,876</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8,223</w:t>
            </w:r>
          </w:p>
        </w:tc>
        <w:tc>
          <w:tcPr>
            <w:tcW w:w="26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4,973</w:t>
            </w:r>
          </w:p>
        </w:tc>
        <w:tc>
          <w:tcPr>
            <w:tcW w:w="0" w:type="dxa"/>
            <w:vAlign w:val="bottom"/>
          </w:tcPr>
          <w:p>
            <w:pPr>
              <w:spacing w:after="0"/>
              <w:rPr>
                <w:sz w:val="1"/>
                <w:szCs w:val="1"/>
                <w:color w:val="auto"/>
              </w:rPr>
            </w:pPr>
          </w:p>
        </w:tc>
      </w:tr>
      <w:tr>
        <w:trPr>
          <w:trHeight w:val="21"/>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2</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5120" w:type="dxa"/>
            <w:vAlign w:val="bottom"/>
            <w:vMerge w:val="continue"/>
          </w:tcPr>
          <w:p>
            <w:pPr>
              <w:spacing w:after="0"/>
              <w:rPr>
                <w:sz w:val="24"/>
                <w:szCs w:val="24"/>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12,117</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12,226</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15,082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14,812</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4"/>
                <w:szCs w:val="14"/>
                <w:color w:val="auto"/>
              </w:rPr>
              <w:t>Less: Straight line rent and fair value lease revenue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Add: Lease transaction costs that qualify as rent inducements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5120" w:type="dxa"/>
            <w:vAlign w:val="bottom"/>
          </w:tcPr>
          <w:p>
            <w:pPr>
              <w:ind w:left="220"/>
              <w:spacing w:after="0"/>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12,117</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12,114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15,084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14,814</w:t>
            </w:r>
          </w:p>
        </w:tc>
        <w:tc>
          <w:tcPr>
            <w:tcW w:w="0" w:type="dxa"/>
            <w:vAlign w:val="bottom"/>
          </w:tcPr>
          <w:p>
            <w:pPr>
              <w:spacing w:after="0"/>
              <w:rPr>
                <w:sz w:val="1"/>
                <w:szCs w:val="1"/>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Less: Operating expenses and real estate taxes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5,988</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5,739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9,833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9,839</w:t>
            </w:r>
          </w:p>
        </w:tc>
        <w:tc>
          <w:tcPr>
            <w:tcW w:w="0" w:type="dxa"/>
            <w:vAlign w:val="bottom"/>
          </w:tcPr>
          <w:p>
            <w:pPr>
              <w:spacing w:after="0"/>
              <w:rPr>
                <w:sz w:val="1"/>
                <w:szCs w:val="1"/>
                <w:color w:val="auto"/>
              </w:rPr>
            </w:pPr>
          </w:p>
        </w:tc>
      </w:tr>
      <w:tr>
        <w:trPr>
          <w:trHeight w:val="204"/>
        </w:trPr>
        <w:tc>
          <w:tcPr>
            <w:tcW w:w="5120" w:type="dxa"/>
            <w:vAlign w:val="bottom"/>
          </w:tcPr>
          <w:p>
            <w:pPr>
              <w:ind w:left="220"/>
              <w:spacing w:after="0" w:line="204" w:lineRule="exact"/>
              <w:rPr>
                <w:sz w:val="20"/>
                <w:szCs w:val="20"/>
                <w:color w:val="auto"/>
              </w:rPr>
            </w:pPr>
            <w:r>
              <w:rPr>
                <w:rFonts w:ascii="Arial" w:cs="Arial" w:eastAsia="Arial" w:hAnsi="Arial"/>
                <w:sz w:val="14"/>
                <w:szCs w:val="14"/>
                <w:color w:val="auto"/>
              </w:rPr>
              <w:t xml:space="preserve">NOI - cash basis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6,129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6,375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5,251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4,975</w:t>
            </w:r>
          </w:p>
        </w:tc>
        <w:tc>
          <w:tcPr>
            <w:tcW w:w="0" w:type="dxa"/>
            <w:vAlign w:val="bottom"/>
          </w:tcPr>
          <w:p>
            <w:pPr>
              <w:spacing w:after="0"/>
              <w:rPr>
                <w:sz w:val="1"/>
                <w:szCs w:val="1"/>
                <w:color w:val="auto"/>
              </w:rPr>
            </w:pPr>
          </w:p>
        </w:tc>
      </w:tr>
      <w:tr>
        <w:trPr>
          <w:trHeight w:val="201"/>
        </w:trPr>
        <w:tc>
          <w:tcPr>
            <w:tcW w:w="51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Add: BXP’s share of NOI-cash from unconsolidated joint ventures </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1,747</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w:t>
            </w:r>
          </w:p>
        </w:tc>
        <w:tc>
          <w:tcPr>
            <w:tcW w:w="260" w:type="dxa"/>
            <w:vAlign w:val="bottom"/>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5120" w:type="dxa"/>
            <w:vAlign w:val="bottom"/>
          </w:tcPr>
          <w:p>
            <w:pPr>
              <w:ind w:left="220"/>
              <w:spacing w:after="0" w:line="196" w:lineRule="exact"/>
              <w:rPr>
                <w:sz w:val="20"/>
                <w:szCs w:val="20"/>
                <w:color w:val="auto"/>
              </w:rPr>
            </w:pPr>
            <w:r>
              <w:rPr>
                <w:rFonts w:ascii="Arial" w:cs="Arial" w:eastAsia="Arial" w:hAnsi="Arial"/>
                <w:sz w:val="14"/>
                <w:szCs w:val="14"/>
                <w:color w:val="auto"/>
              </w:rPr>
              <w:t xml:space="preserve">BXP’s Share of NOI - cash basis </w:t>
            </w:r>
            <w:r>
              <w:rPr>
                <w:rFonts w:ascii="Arial" w:cs="Arial" w:eastAsia="Arial" w:hAnsi="Arial"/>
                <w:sz w:val="18"/>
                <w:szCs w:val="18"/>
                <w:color w:val="auto"/>
                <w:vertAlign w:val="superscript"/>
              </w:rPr>
              <w:t>2</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7,876</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8,111</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5,251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4,975</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RENTAL RATES AND OCCUPANCY - Year-over-Year</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1"/>
        </w:trPr>
        <w:tc>
          <w:tcPr>
            <w:tcW w:w="5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gridSpan w:val="9"/>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Residential Units</w:t>
            </w:r>
          </w:p>
        </w:tc>
        <w:tc>
          <w:tcPr>
            <w:tcW w:w="10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30-Sep-24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4"/>
          </w:tcPr>
          <w:p>
            <w:pPr>
              <w:ind w:left="40"/>
              <w:spacing w:after="0"/>
              <w:rPr>
                <w:sz w:val="20"/>
                <w:szCs w:val="20"/>
                <w:color w:val="auto"/>
              </w:rPr>
            </w:pPr>
            <w:r>
              <w:rPr>
                <w:rFonts w:ascii="Arial" w:cs="Arial" w:eastAsia="Arial" w:hAnsi="Arial"/>
                <w:sz w:val="13"/>
                <w:szCs w:val="13"/>
                <w:b w:val="1"/>
                <w:bCs w:val="1"/>
                <w:color w:val="auto"/>
              </w:rPr>
              <w:t>30-Sep-23</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3"/>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BOSTON</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Hub50House (50% ownership), Boston, MA </w:t>
            </w:r>
            <w:r>
              <w:rPr>
                <w:rFonts w:ascii="Arial" w:cs="Arial" w:eastAsia="Arial" w:hAnsi="Arial"/>
                <w:sz w:val="18"/>
                <w:szCs w:val="18"/>
                <w:color w:val="auto"/>
                <w:vertAlign w:val="superscript"/>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4,399</w:t>
            </w:r>
          </w:p>
        </w:tc>
        <w:tc>
          <w:tcPr>
            <w:tcW w:w="1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2.47 %</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6.02</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2.21 %</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95.98 %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95.23 %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0.79 %</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Economic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96.15 %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94.97 %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417"/>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Proto Kendall Square, Cambridge, MA </w:t>
            </w:r>
            <w:r>
              <w:rPr>
                <w:rFonts w:ascii="Arial" w:cs="Arial" w:eastAsia="Arial" w:hAnsi="Arial"/>
                <w:sz w:val="18"/>
                <w:szCs w:val="18"/>
                <w:color w:val="auto"/>
                <w:vertAlign w:val="superscript"/>
              </w:rPr>
              <w:t>2, 4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3,235</w:t>
            </w:r>
          </w:p>
        </w:tc>
        <w:tc>
          <w:tcPr>
            <w:tcW w:w="1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3.92 %</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5.94</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4.03 %</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94.52 %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95.24 %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Economic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94.65 %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94.66 %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417"/>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The Lofts at Atlantic Wharf, Boston, MA </w:t>
            </w:r>
            <w:r>
              <w:rPr>
                <w:rFonts w:ascii="Arial" w:cs="Arial" w:eastAsia="Arial" w:hAnsi="Arial"/>
                <w:sz w:val="18"/>
                <w:szCs w:val="18"/>
                <w:color w:val="auto"/>
                <w:vertAlign w:val="superscript"/>
              </w:rPr>
              <w:t>2, 4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4,414</w:t>
            </w:r>
          </w:p>
        </w:tc>
        <w:tc>
          <w:tcPr>
            <w:tcW w:w="1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4,462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4.95</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94.96 %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96.90 %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Economic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93.37 %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96.55 %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462"/>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Boston Marriott Cambridge (437 rooms), Cambridge, MA </w:t>
            </w:r>
            <w:r>
              <w:rPr>
                <w:rFonts w:ascii="Arial" w:cs="Arial" w:eastAsia="Arial" w:hAnsi="Arial"/>
                <w:sz w:val="18"/>
                <w:szCs w:val="18"/>
                <w:color w:val="auto"/>
                <w:vertAlign w:val="superscript"/>
              </w:rPr>
              <w:t>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20" w:type="dxa"/>
            <w:vAlign w:val="bottom"/>
          </w:tcPr>
          <w:p>
            <w:pPr>
              <w:ind w:left="240"/>
              <w:spacing w:after="0"/>
              <w:rPr>
                <w:sz w:val="20"/>
                <w:szCs w:val="20"/>
                <w:color w:val="auto"/>
              </w:rPr>
            </w:pPr>
            <w:r>
              <w:rPr>
                <w:rFonts w:ascii="Arial" w:cs="Arial" w:eastAsia="Arial" w:hAnsi="Arial"/>
                <w:sz w:val="14"/>
                <w:szCs w:val="14"/>
                <w:color w:val="auto"/>
              </w:rPr>
              <w:t>Average Occupancy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82.70 %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81.60 %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283"/>
        </w:trPr>
        <w:tc>
          <w:tcPr>
            <w:tcW w:w="5120" w:type="dxa"/>
            <w:vAlign w:val="bottom"/>
          </w:tcPr>
          <w:p>
            <w:pPr>
              <w:ind w:left="240"/>
              <w:spacing w:after="0"/>
              <w:rPr>
                <w:sz w:val="20"/>
                <w:szCs w:val="20"/>
                <w:color w:val="auto"/>
              </w:rPr>
            </w:pPr>
            <w:r>
              <w:rPr>
                <w:rFonts w:ascii="Arial" w:cs="Arial" w:eastAsia="Arial" w:hAnsi="Arial"/>
                <w:sz w:val="14"/>
                <w:szCs w:val="14"/>
                <w:color w:val="auto"/>
              </w:rPr>
              <w:t>Average Daily Rate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356.44</w:t>
            </w:r>
          </w:p>
        </w:tc>
        <w:tc>
          <w:tcPr>
            <w:tcW w:w="18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331.37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7.57 %</w:t>
            </w:r>
          </w:p>
        </w:tc>
        <w:tc>
          <w:tcPr>
            <w:tcW w:w="0" w:type="dxa"/>
            <w:vAlign w:val="bottom"/>
          </w:tcPr>
          <w:p>
            <w:pPr>
              <w:spacing w:after="0"/>
              <w:rPr>
                <w:sz w:val="1"/>
                <w:szCs w:val="1"/>
                <w:color w:val="auto"/>
              </w:rPr>
            </w:pPr>
          </w:p>
        </w:tc>
      </w:tr>
      <w:tr>
        <w:trPr>
          <w:trHeight w:val="284"/>
        </w:trPr>
        <w:tc>
          <w:tcPr>
            <w:tcW w:w="5120" w:type="dxa"/>
            <w:vAlign w:val="bottom"/>
          </w:tcPr>
          <w:p>
            <w:pPr>
              <w:ind w:left="240"/>
              <w:spacing w:after="0"/>
              <w:rPr>
                <w:sz w:val="20"/>
                <w:szCs w:val="20"/>
                <w:color w:val="auto"/>
              </w:rPr>
            </w:pPr>
            <w:r>
              <w:rPr>
                <w:rFonts w:ascii="Arial" w:cs="Arial" w:eastAsia="Arial" w:hAnsi="Arial"/>
                <w:sz w:val="14"/>
                <w:szCs w:val="14"/>
                <w:color w:val="auto"/>
              </w:rPr>
              <w:t>Revenue Per Available Room</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294.86</w:t>
            </w:r>
          </w:p>
        </w:tc>
        <w:tc>
          <w:tcPr>
            <w:tcW w:w="18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270.50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9.01 %</w:t>
            </w:r>
          </w:p>
        </w:tc>
        <w:tc>
          <w:tcPr>
            <w:tcW w:w="0" w:type="dxa"/>
            <w:vAlign w:val="bottom"/>
          </w:tcPr>
          <w:p>
            <w:pPr>
              <w:spacing w:after="0"/>
              <w:rPr>
                <w:sz w:val="1"/>
                <w:szCs w:val="1"/>
                <w:color w:val="auto"/>
              </w:rPr>
            </w:pPr>
          </w:p>
        </w:tc>
      </w:tr>
      <w:tr>
        <w:trPr>
          <w:trHeight w:val="411"/>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SAN FRANCISCO</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The Skylyne, Oakland, CA </w:t>
            </w:r>
            <w:r>
              <w:rPr>
                <w:rFonts w:ascii="Arial" w:cs="Arial" w:eastAsia="Arial" w:hAnsi="Arial"/>
                <w:sz w:val="18"/>
                <w:szCs w:val="18"/>
                <w:color w:val="auto"/>
                <w:vertAlign w:val="superscript"/>
              </w:rPr>
              <w:t>2, 4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3,349</w:t>
            </w:r>
          </w:p>
        </w:tc>
        <w:tc>
          <w:tcPr>
            <w:tcW w:w="1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4.24</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89.88 %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93.12 %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Economic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87.49 %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91.28 %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265" w:right="339" w:bottom="1440" w:gutter="0" w:footer="0" w:header="0"/>
          <w:type w:val="continuous"/>
        </w:sectPr>
      </w:pPr>
    </w:p>
    <w:bookmarkStart w:id="28" w:name="page29"/>
    <w:bookmarkEnd w:id="28"/>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Residential and hotel performance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RENTAL RATES AND OCCUPANCY -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5120" w:type="dxa"/>
            <w:vAlign w:val="bottom"/>
          </w:tcPr>
          <w:p>
            <w:pPr>
              <w:spacing w:after="0"/>
              <w:rPr>
                <w:sz w:val="17"/>
                <w:szCs w:val="17"/>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Residential Units</w:t>
            </w: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30-Sep-24</w:t>
            </w:r>
          </w:p>
        </w:tc>
        <w:tc>
          <w:tcPr>
            <w:tcW w:w="240" w:type="dxa"/>
            <w:vAlign w:val="bottom"/>
          </w:tcPr>
          <w:p>
            <w:pPr>
              <w:spacing w:after="0"/>
              <w:rPr>
                <w:sz w:val="17"/>
                <w:szCs w:val="17"/>
                <w:color w:val="auto"/>
              </w:rPr>
            </w:pPr>
          </w:p>
        </w:tc>
        <w:tc>
          <w:tcPr>
            <w:tcW w:w="1120" w:type="dxa"/>
            <w:vAlign w:val="bottom"/>
          </w:tcPr>
          <w:p>
            <w:pPr>
              <w:jc w:val="right"/>
              <w:ind w:right="289"/>
              <w:spacing w:after="0"/>
              <w:rPr>
                <w:sz w:val="20"/>
                <w:szCs w:val="20"/>
                <w:color w:val="auto"/>
              </w:rPr>
            </w:pPr>
            <w:r>
              <w:rPr>
                <w:rFonts w:ascii="Arial" w:cs="Arial" w:eastAsia="Arial" w:hAnsi="Arial"/>
                <w:sz w:val="13"/>
                <w:szCs w:val="13"/>
                <w:b w:val="1"/>
                <w:bCs w:val="1"/>
                <w:color w:val="auto"/>
              </w:rPr>
              <w:t>30-Sep-23</w:t>
            </w: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 Change</w:t>
            </w:r>
          </w:p>
        </w:tc>
      </w:tr>
      <w:tr>
        <w:trPr>
          <w:trHeight w:val="183"/>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WASHINGTON, DC</w:t>
            </w: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317"/>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Signature at Reston, Reston, VA </w:t>
            </w:r>
            <w:r>
              <w:rPr>
                <w:rFonts w:ascii="Arial" w:cs="Arial" w:eastAsia="Arial" w:hAnsi="Arial"/>
                <w:sz w:val="18"/>
                <w:szCs w:val="18"/>
                <w:color w:val="auto"/>
                <w:vertAlign w:val="superscript"/>
              </w:rPr>
              <w:t>2, 4</w:t>
            </w:r>
          </w:p>
        </w:tc>
        <w:tc>
          <w:tcPr>
            <w:tcW w:w="1240" w:type="dxa"/>
            <w:vAlign w:val="bottom"/>
          </w:tcPr>
          <w:p>
            <w:pPr>
              <w:jc w:val="right"/>
              <w:spacing w:after="0"/>
              <w:rPr>
                <w:sz w:val="20"/>
                <w:szCs w:val="20"/>
                <w:color w:val="auto"/>
              </w:rPr>
            </w:pPr>
            <w:r>
              <w:rPr>
                <w:rFonts w:ascii="Arial" w:cs="Arial" w:eastAsia="Arial" w:hAnsi="Arial"/>
                <w:sz w:val="14"/>
                <w:szCs w:val="14"/>
                <w:color w:val="auto"/>
              </w:rPr>
              <w:t>508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4"/>
                <w:szCs w:val="14"/>
                <w:color w:val="auto"/>
              </w:rPr>
              <w:t>Average Monthly Rental Rate</w:t>
            </w:r>
          </w:p>
        </w:tc>
        <w:tc>
          <w:tcPr>
            <w:tcW w:w="1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2,869</w:t>
            </w:r>
          </w:p>
        </w:tc>
        <w:tc>
          <w:tcPr>
            <w:tcW w:w="26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2,726</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5.25 %</w:t>
            </w: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Rental Rate Per Occupied Square Foot</w:t>
            </w:r>
          </w:p>
        </w:tc>
        <w:tc>
          <w:tcPr>
            <w:tcW w:w="1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2.95</w:t>
            </w:r>
          </w:p>
        </w:tc>
        <w:tc>
          <w:tcPr>
            <w:tcW w:w="2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2.82</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4.61 %</w:t>
            </w: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Physical Occupancy</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96.00 %</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95.54 %</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0.48 %</w:t>
            </w:r>
          </w:p>
        </w:tc>
      </w:tr>
      <w:tr>
        <w:trPr>
          <w:trHeight w:val="203"/>
        </w:trPr>
        <w:tc>
          <w:tcPr>
            <w:tcW w:w="5120" w:type="dxa"/>
            <w:vAlign w:val="bottom"/>
          </w:tcPr>
          <w:p>
            <w:pPr>
              <w:ind w:left="240"/>
              <w:spacing w:after="0"/>
              <w:rPr>
                <w:sz w:val="20"/>
                <w:szCs w:val="20"/>
                <w:color w:val="auto"/>
              </w:rPr>
            </w:pPr>
            <w:r>
              <w:rPr>
                <w:rFonts w:ascii="Arial" w:cs="Arial" w:eastAsia="Arial" w:hAnsi="Arial"/>
                <w:sz w:val="14"/>
                <w:szCs w:val="14"/>
                <w:color w:val="auto"/>
              </w:rPr>
              <w:t>Average Economic Occupancy</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95.89 %</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94.94 %</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1.00 %</w:t>
            </w:r>
          </w:p>
        </w:tc>
      </w:tr>
      <w:tr>
        <w:trPr>
          <w:trHeight w:val="211"/>
        </w:trPr>
        <w:tc>
          <w:tcPr>
            <w:tcW w:w="5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In-Service Residential Units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
        </w:trPr>
        <w:tc>
          <w:tcPr>
            <w:tcW w:w="5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Includes retail space.</w:t>
      </w:r>
    </w:p>
    <w:p>
      <w:pPr>
        <w:ind w:left="80" w:hanging="72"/>
        <w:spacing w:after="0" w:line="222" w:lineRule="auto"/>
        <w:tabs>
          <w:tab w:leader="none" w:pos="8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ind w:left="80" w:hanging="72"/>
        <w:spacing w:after="0" w:line="237" w:lineRule="auto"/>
        <w:tabs>
          <w:tab w:leader="none" w:pos="80"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Includes Skymark, a joint venture residential project in which the Company has a 20% ownership interest located at Reston, Virginia. See page 15 for more information.</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Excludes retail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265" w:right="339" w:bottom="1440" w:gutter="0" w:footer="0" w:header="0"/>
        </w:sectPr>
      </w:pPr>
    </w:p>
    <w:bookmarkStart w:id="29" w:name="page30"/>
    <w:bookmarkEnd w:id="29"/>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-61595</wp:posOffset>
            </wp:positionV>
            <wp:extent cx="25717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of September 30,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CBD</w:t>
            </w:r>
          </w:p>
        </w:tc>
        <w:tc>
          <w:tcPr>
            <w:tcW w:w="304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BOSTON</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200</w:t>
            </w:r>
          </w:p>
        </w:tc>
        <w:tc>
          <w:tcPr>
            <w:tcW w:w="3040" w:type="dxa"/>
            <w:vAlign w:val="bottom"/>
          </w:tcPr>
          <w:p>
            <w:pPr>
              <w:ind w:left="20"/>
              <w:spacing w:after="0"/>
              <w:rPr>
                <w:sz w:val="20"/>
                <w:szCs w:val="20"/>
                <w:color w:val="auto"/>
              </w:rPr>
            </w:pPr>
            <w:r>
              <w:rPr>
                <w:rFonts w:ascii="Arial" w:cs="Arial" w:eastAsia="Arial" w:hAnsi="Arial"/>
                <w:sz w:val="13"/>
                <w:szCs w:val="13"/>
                <w:color w:val="auto"/>
              </w:rPr>
              <w:t>Clarendon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1,728,956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96.5 %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99.0 %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84.16</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800</w:t>
            </w:r>
          </w:p>
        </w:tc>
        <w:tc>
          <w:tcPr>
            <w:tcW w:w="3040" w:type="dxa"/>
            <w:vAlign w:val="bottom"/>
          </w:tcPr>
          <w:p>
            <w:pPr>
              <w:ind w:left="20"/>
              <w:spacing w:after="0"/>
              <w:rPr>
                <w:sz w:val="20"/>
                <w:szCs w:val="20"/>
                <w:color w:val="auto"/>
              </w:rPr>
            </w:pPr>
            <w:r>
              <w:rPr>
                <w:rFonts w:ascii="Arial" w:cs="Arial" w:eastAsia="Arial" w:hAnsi="Arial"/>
                <w:sz w:val="13"/>
                <w:szCs w:val="13"/>
                <w:color w:val="auto"/>
              </w:rPr>
              <w:t>Boylston Street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1,274,927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95.9 %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97.9 %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72.29</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Federal Street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1,233,537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89.4 %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91.4 %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77.08</w:t>
            </w: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111 Huntington Avenue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860,446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78.47</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Atlantic Wharf Office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791,357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94.9 %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88.45</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Causeway Street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633,818</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96.4 %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96.4 %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75.44</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Prudential Center (retail shops) </w:t>
            </w:r>
            <w:r>
              <w:rPr>
                <w:rFonts w:ascii="Arial" w:cs="Arial" w:eastAsia="Arial" w:hAnsi="Arial"/>
                <w:sz w:val="16"/>
                <w:szCs w:val="16"/>
                <w:color w:val="auto"/>
                <w:vertAlign w:val="superscript"/>
              </w:rPr>
              <w:t>5, 6</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601,514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90.2 %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94.17</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101</w:t>
            </w:r>
          </w:p>
        </w:tc>
        <w:tc>
          <w:tcPr>
            <w:tcW w:w="3040" w:type="dxa"/>
            <w:vAlign w:val="bottom"/>
          </w:tcPr>
          <w:p>
            <w:pPr>
              <w:ind w:left="20"/>
              <w:spacing w:after="0"/>
              <w:rPr>
                <w:sz w:val="20"/>
                <w:szCs w:val="20"/>
                <w:color w:val="auto"/>
              </w:rPr>
            </w:pPr>
            <w:r>
              <w:rPr>
                <w:rFonts w:ascii="Arial" w:cs="Arial" w:eastAsia="Arial" w:hAnsi="Arial"/>
                <w:sz w:val="13"/>
                <w:szCs w:val="13"/>
                <w:color w:val="auto"/>
              </w:rPr>
              <w:t>Huntington Avenue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506,476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60.25</w:t>
            </w: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The Hub on Causeway - Podium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382,988</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94.6 %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94.6 %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64.61</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888</w:t>
            </w:r>
          </w:p>
        </w:tc>
        <w:tc>
          <w:tcPr>
            <w:tcW w:w="3040" w:type="dxa"/>
            <w:vAlign w:val="bottom"/>
          </w:tcPr>
          <w:p>
            <w:pPr>
              <w:ind w:left="20"/>
              <w:spacing w:after="0"/>
              <w:rPr>
                <w:sz w:val="20"/>
                <w:szCs w:val="20"/>
                <w:color w:val="auto"/>
              </w:rPr>
            </w:pPr>
            <w:r>
              <w:rPr>
                <w:rFonts w:ascii="Arial" w:cs="Arial" w:eastAsia="Arial" w:hAnsi="Arial"/>
                <w:sz w:val="13"/>
                <w:szCs w:val="13"/>
                <w:color w:val="auto"/>
              </w:rPr>
              <w:t>Boylston Street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363,320</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82.76</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Star Market at the Prudential Center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60,015</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8,437,354</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78.70</w:t>
            </w:r>
          </w:p>
        </w:tc>
        <w:tc>
          <w:tcPr>
            <w:tcW w:w="0" w:type="dxa"/>
            <w:vAlign w:val="bottom"/>
          </w:tcPr>
          <w:p>
            <w:pPr>
              <w:spacing w:after="0"/>
              <w:rPr>
                <w:sz w:val="1"/>
                <w:szCs w:val="1"/>
                <w:color w:val="auto"/>
              </w:rPr>
            </w:pPr>
          </w:p>
        </w:tc>
      </w:tr>
      <w:tr>
        <w:trPr>
          <w:trHeight w:val="362"/>
        </w:trPr>
        <w:tc>
          <w:tcPr>
            <w:tcW w:w="480" w:type="dxa"/>
            <w:vAlign w:val="bottom"/>
          </w:tcPr>
          <w:p>
            <w:pPr>
              <w:ind w:left="240"/>
              <w:spacing w:after="0"/>
              <w:rPr>
                <w:sz w:val="20"/>
                <w:szCs w:val="20"/>
                <w:color w:val="auto"/>
              </w:rPr>
            </w:pPr>
            <w:r>
              <w:rPr>
                <w:rFonts w:ascii="Arial" w:cs="Arial" w:eastAsia="Arial" w:hAnsi="Arial"/>
                <w:sz w:val="13"/>
                <w:szCs w:val="13"/>
                <w:color w:val="auto"/>
              </w:rPr>
              <w:t>145</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490,086</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99.6 %</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99.6 %</w:t>
            </w:r>
          </w:p>
        </w:tc>
        <w:tc>
          <w:tcPr>
            <w:tcW w:w="2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91.36</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325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414,565</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91.4 %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91.4 %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117.11</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125</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Broadway </w:t>
            </w:r>
            <w:r>
              <w:rPr>
                <w:rFonts w:ascii="Arial" w:cs="Arial" w:eastAsia="Arial" w:hAnsi="Arial"/>
                <w:sz w:val="16"/>
                <w:szCs w:val="16"/>
                <w:color w:val="auto"/>
                <w:vertAlign w:val="superscript"/>
              </w:rPr>
              <w:t>7</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271,000</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143.66</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355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256,966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84.76</w:t>
            </w: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90 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223,771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78.68</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255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215,394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90.47</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150</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177,226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99.59</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105</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152,664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75.39</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250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Binney Street </w:t>
            </w:r>
            <w:r>
              <w:rPr>
                <w:rFonts w:ascii="Arial" w:cs="Arial" w:eastAsia="Arial" w:hAnsi="Arial"/>
                <w:sz w:val="16"/>
                <w:szCs w:val="16"/>
                <w:color w:val="auto"/>
                <w:vertAlign w:val="superscript"/>
              </w:rPr>
              <w:t>7</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67,362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51.10</w:t>
            </w: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University Place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195,282</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57.82</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2,464,316</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95.15</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Subtotal Boston CBD</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10,901,670</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82.51</w:t>
            </w:r>
          </w:p>
        </w:tc>
        <w:tc>
          <w:tcPr>
            <w:tcW w:w="0" w:type="dxa"/>
            <w:vAlign w:val="bottom"/>
          </w:tcPr>
          <w:p>
            <w:pPr>
              <w:spacing w:after="0"/>
              <w:rPr>
                <w:sz w:val="1"/>
                <w:szCs w:val="1"/>
                <w:color w:val="auto"/>
              </w:rPr>
            </w:pPr>
          </w:p>
        </w:tc>
      </w:tr>
      <w:tr>
        <w:trPr>
          <w:trHeight w:val="364"/>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Hub50House (440 units)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320,444</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The Lofts at Atlantic Wharf (86 units)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87,096</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Proto Kendall Square (280 units)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166,717</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574,257</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480" w:type="dxa"/>
            <w:vAlign w:val="bottom"/>
          </w:tcPr>
          <w:p>
            <w:pPr>
              <w:ind w:left="120"/>
              <w:spacing w:after="0"/>
              <w:rPr>
                <w:sz w:val="20"/>
                <w:szCs w:val="20"/>
                <w:color w:val="auto"/>
              </w:rPr>
            </w:pPr>
            <w:r>
              <w:rPr>
                <w:rFonts w:ascii="Arial" w:cs="Arial" w:eastAsia="Arial" w:hAnsi="Arial"/>
                <w:sz w:val="13"/>
                <w:szCs w:val="13"/>
                <w:color w:val="auto"/>
              </w:rPr>
              <w:t>Hotel</w:t>
            </w:r>
          </w:p>
        </w:tc>
        <w:tc>
          <w:tcPr>
            <w:tcW w:w="3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Boston Marriott Cambridge (437 rooms)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334,260</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334,260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LOS ANGELES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Colorado Center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1,130,066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89.6 %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90.3 %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75.47</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Santa Monica Business Park </w:t>
            </w:r>
            <w:r>
              <w:rPr>
                <w:rFonts w:ascii="Arial" w:cs="Arial" w:eastAsia="Arial" w:hAnsi="Arial"/>
                <w:sz w:val="16"/>
                <w:szCs w:val="16"/>
                <w:color w:val="auto"/>
                <w:vertAlign w:val="superscript"/>
              </w:rPr>
              <w:t>8</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1,108,292</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80.6 %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82.2 %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71.96</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40"/>
              <w:spacing w:after="0" w:line="180" w:lineRule="exact"/>
              <w:rPr>
                <w:sz w:val="20"/>
                <w:szCs w:val="20"/>
                <w:color w:val="auto"/>
              </w:rPr>
            </w:pPr>
            <w:r>
              <w:rPr>
                <w:rFonts w:ascii="Arial" w:cs="Arial" w:eastAsia="Arial" w:hAnsi="Arial"/>
                <w:sz w:val="13"/>
                <w:szCs w:val="13"/>
                <w:color w:val="auto"/>
              </w:rPr>
              <w:t xml:space="preserve">Santa Monica Business Park Retail </w:t>
            </w:r>
            <w:r>
              <w:rPr>
                <w:rFonts w:ascii="Arial" w:cs="Arial" w:eastAsia="Arial" w:hAnsi="Arial"/>
                <w:sz w:val="16"/>
                <w:szCs w:val="16"/>
                <w:color w:val="auto"/>
                <w:vertAlign w:val="superscript"/>
              </w:rPr>
              <w:t>5, 8</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7</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73,006</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76.81</w:t>
            </w: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27</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2,311,364</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73.92</w:t>
            </w:r>
          </w:p>
        </w:tc>
        <w:tc>
          <w:tcPr>
            <w:tcW w:w="0" w:type="dxa"/>
            <w:vAlign w:val="bottom"/>
          </w:tcPr>
          <w:p>
            <w:pPr>
              <w:spacing w:after="0"/>
              <w:rPr>
                <w:sz w:val="1"/>
                <w:szCs w:val="1"/>
                <w:color w:val="auto"/>
              </w:rPr>
            </w:pPr>
          </w:p>
        </w:tc>
      </w:tr>
      <w:tr>
        <w:trPr>
          <w:trHeight w:val="417"/>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NEW YORK</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767</w:t>
            </w:r>
          </w:p>
        </w:tc>
        <w:tc>
          <w:tcPr>
            <w:tcW w:w="3040" w:type="dxa"/>
            <w:vAlign w:val="bottom"/>
          </w:tcPr>
          <w:p>
            <w:pPr>
              <w:ind w:left="20"/>
              <w:spacing w:after="0"/>
              <w:rPr>
                <w:sz w:val="20"/>
                <w:szCs w:val="20"/>
                <w:color w:val="auto"/>
              </w:rPr>
            </w:pPr>
            <w:r>
              <w:rPr>
                <w:rFonts w:ascii="Arial" w:cs="Arial" w:eastAsia="Arial" w:hAnsi="Arial"/>
                <w:sz w:val="13"/>
                <w:szCs w:val="13"/>
                <w:color w:val="auto"/>
              </w:rPr>
              <w:t>Fifth Avenue (The GM Building) (60%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Plaza District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1,970,335</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91.6 %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98.2 %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167.49</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601</w:t>
            </w:r>
          </w:p>
        </w:tc>
        <w:tc>
          <w:tcPr>
            <w:tcW w:w="3040" w:type="dxa"/>
            <w:vAlign w:val="bottom"/>
          </w:tcPr>
          <w:p>
            <w:pPr>
              <w:ind w:left="20"/>
              <w:spacing w:after="0"/>
              <w:rPr>
                <w:sz w:val="20"/>
                <w:szCs w:val="20"/>
                <w:color w:val="auto"/>
              </w:rPr>
            </w:pPr>
            <w:r>
              <w:rPr>
                <w:rFonts w:ascii="Arial" w:cs="Arial" w:eastAsia="Arial" w:hAnsi="Arial"/>
                <w:sz w:val="13"/>
                <w:szCs w:val="13"/>
                <w:color w:val="auto"/>
              </w:rPr>
              <w:t>Lexington Avenue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1,670,502</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95.8 %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98.9 %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99.47</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399</w:t>
            </w:r>
          </w:p>
        </w:tc>
        <w:tc>
          <w:tcPr>
            <w:tcW w:w="3040" w:type="dxa"/>
            <w:vAlign w:val="bottom"/>
          </w:tcPr>
          <w:p>
            <w:pPr>
              <w:ind w:left="20"/>
              <w:spacing w:after="0"/>
              <w:rPr>
                <w:sz w:val="20"/>
                <w:szCs w:val="20"/>
                <w:color w:val="auto"/>
              </w:rPr>
            </w:pPr>
            <w:r>
              <w:rPr>
                <w:rFonts w:ascii="Arial" w:cs="Arial" w:eastAsia="Arial" w:hAnsi="Arial"/>
                <w:sz w:val="13"/>
                <w:szCs w:val="13"/>
                <w:color w:val="auto"/>
              </w:rPr>
              <w:t>Park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1,577,588</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97.6 %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103.86</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599</w:t>
            </w:r>
          </w:p>
        </w:tc>
        <w:tc>
          <w:tcPr>
            <w:tcW w:w="3040" w:type="dxa"/>
            <w:vAlign w:val="bottom"/>
          </w:tcPr>
          <w:p>
            <w:pPr>
              <w:ind w:left="20"/>
              <w:spacing w:after="0"/>
              <w:rPr>
                <w:sz w:val="20"/>
                <w:szCs w:val="20"/>
                <w:color w:val="auto"/>
              </w:rPr>
            </w:pPr>
            <w:r>
              <w:rPr>
                <w:rFonts w:ascii="Arial" w:cs="Arial" w:eastAsia="Arial" w:hAnsi="Arial"/>
                <w:sz w:val="13"/>
                <w:szCs w:val="13"/>
                <w:color w:val="auto"/>
              </w:rPr>
              <w:t>Lexington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1,106,335</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91.9 %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95.8 %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88.79</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Times Square Tower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Times Square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1,245,521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77.1 %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40" w:top="265" w:right="339" w:bottom="1440" w:gutter="0" w:footer="0" w:header="0"/>
        </w:sectPr>
      </w:pPr>
    </w:p>
    <w:bookmarkStart w:id="30" w:name="page31"/>
    <w:bookmarkEnd w:id="30"/>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-61595</wp:posOffset>
            </wp:positionV>
            <wp:extent cx="25717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20"/>
                <w:szCs w:val="20"/>
                <w:color w:val="auto"/>
              </w:rPr>
            </w:pPr>
            <w:r>
              <w:rPr>
                <w:rFonts w:ascii="Arial" w:cs="Arial" w:eastAsia="Arial" w:hAnsi="Arial"/>
                <w:sz w:val="13"/>
                <w:szCs w:val="13"/>
                <w:color w:val="auto"/>
              </w:rPr>
              <w:t>250</w:t>
            </w:r>
          </w:p>
        </w:tc>
        <w:tc>
          <w:tcPr>
            <w:tcW w:w="3060" w:type="dxa"/>
            <w:vAlign w:val="bottom"/>
          </w:tcPr>
          <w:p>
            <w:pPr>
              <w:ind w:left="20"/>
              <w:spacing w:after="0"/>
              <w:rPr>
                <w:sz w:val="20"/>
                <w:szCs w:val="20"/>
                <w:color w:val="auto"/>
              </w:rPr>
            </w:pPr>
            <w:r>
              <w:rPr>
                <w:rFonts w:ascii="Arial" w:cs="Arial" w:eastAsia="Arial" w:hAnsi="Arial"/>
                <w:sz w:val="13"/>
                <w:szCs w:val="13"/>
                <w:color w:val="auto"/>
              </w:rPr>
              <w:t>West 55th Street</w:t>
            </w:r>
          </w:p>
        </w:tc>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Times Square / West Side NY</w:t>
            </w:r>
          </w:p>
        </w:tc>
        <w:tc>
          <w:tcPr>
            <w:tcW w:w="14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966,976</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98.2 %</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99.8 %</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95.97</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20"/>
                <w:szCs w:val="20"/>
                <w:color w:val="auto"/>
              </w:rPr>
            </w:pPr>
            <w:r>
              <w:rPr>
                <w:rFonts w:ascii="Arial" w:cs="Arial" w:eastAsia="Arial" w:hAnsi="Arial"/>
                <w:sz w:val="13"/>
                <w:szCs w:val="13"/>
                <w:color w:val="auto"/>
              </w:rPr>
              <w:t>200</w:t>
            </w:r>
          </w:p>
        </w:tc>
        <w:tc>
          <w:tcPr>
            <w:tcW w:w="306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Fifth Avenue (26.69%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Flatiron District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855,059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93.3 %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102.01</w:t>
            </w:r>
          </w:p>
        </w:tc>
        <w:tc>
          <w:tcPr>
            <w:tcW w:w="0" w:type="dxa"/>
            <w:vAlign w:val="bottom"/>
          </w:tcPr>
          <w:p>
            <w:pPr>
              <w:spacing w:after="0"/>
              <w:rPr>
                <w:sz w:val="1"/>
                <w:szCs w:val="1"/>
                <w:color w:val="auto"/>
              </w:rPr>
            </w:pPr>
          </w:p>
        </w:tc>
      </w:tr>
      <w:tr>
        <w:trPr>
          <w:trHeight w:val="175"/>
        </w:trPr>
        <w:tc>
          <w:tcPr>
            <w:tcW w:w="3300" w:type="dxa"/>
            <w:vAlign w:val="bottom"/>
            <w:gridSpan w:val="2"/>
          </w:tcPr>
          <w:p>
            <w:pPr>
              <w:spacing w:after="0" w:line="175" w:lineRule="exact"/>
              <w:rPr>
                <w:sz w:val="20"/>
                <w:szCs w:val="20"/>
                <w:color w:val="auto"/>
              </w:rPr>
            </w:pPr>
            <w:r>
              <w:rPr>
                <w:rFonts w:ascii="Arial" w:cs="Arial" w:eastAsia="Arial" w:hAnsi="Arial"/>
                <w:sz w:val="13"/>
                <w:szCs w:val="13"/>
                <w:color w:val="auto"/>
              </w:rPr>
              <w:t xml:space="preserve">Dock 72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Brooklyn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668,521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42.7 %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37.11</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20"/>
                <w:szCs w:val="20"/>
                <w:color w:val="auto"/>
              </w:rPr>
            </w:pPr>
            <w:r>
              <w:rPr>
                <w:rFonts w:ascii="Arial" w:cs="Arial" w:eastAsia="Arial" w:hAnsi="Arial"/>
                <w:sz w:val="13"/>
                <w:szCs w:val="13"/>
                <w:color w:val="auto"/>
              </w:rPr>
              <w:t>510</w:t>
            </w:r>
          </w:p>
        </w:tc>
        <w:tc>
          <w:tcPr>
            <w:tcW w:w="3060" w:type="dxa"/>
            <w:vAlign w:val="bottom"/>
          </w:tcPr>
          <w:p>
            <w:pPr>
              <w:ind w:left="20"/>
              <w:spacing w:after="0"/>
              <w:rPr>
                <w:sz w:val="20"/>
                <w:szCs w:val="20"/>
                <w:color w:val="auto"/>
              </w:rPr>
            </w:pPr>
            <w:r>
              <w:rPr>
                <w:rFonts w:ascii="Arial" w:cs="Arial" w:eastAsia="Arial" w:hAnsi="Arial"/>
                <w:sz w:val="13"/>
                <w:szCs w:val="13"/>
                <w:color w:val="auto"/>
              </w:rPr>
              <w:t>Madison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Fifth/Madison Avenue NY</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355,089</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88.5 %</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130.78</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306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10,415,926</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92.6 %</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20"/>
                <w:szCs w:val="20"/>
                <w:color w:val="auto"/>
              </w:rPr>
            </w:pPr>
            <w:r>
              <w:rPr>
                <w:rFonts w:ascii="Arial" w:cs="Arial" w:eastAsia="Arial" w:hAnsi="Arial"/>
                <w:sz w:val="13"/>
                <w:szCs w:val="13"/>
                <w:color w:val="auto"/>
                <w:w w:val="99"/>
              </w:rPr>
              <w:t>Office</w:t>
            </w: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Salesforce Tower</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1,420,682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98.2 %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98.2 %</w:t>
            </w:r>
          </w:p>
        </w:tc>
        <w:tc>
          <w:tcPr>
            <w:tcW w:w="220" w:type="dxa"/>
            <w:vAlign w:val="bottom"/>
          </w:tcPr>
          <w:p>
            <w:pPr>
              <w:spacing w:after="0"/>
              <w:rPr>
                <w:sz w:val="15"/>
                <w:szCs w:val="15"/>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111.62</w:t>
            </w:r>
          </w:p>
        </w:tc>
      </w:tr>
      <w:tr>
        <w:trPr>
          <w:trHeight w:val="175"/>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Four</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942,388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96.4 %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96.4 %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97.89</w:t>
            </w:r>
          </w:p>
        </w:tc>
      </w:tr>
      <w:tr>
        <w:trPr>
          <w:trHeight w:val="176"/>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One</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837,522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68.7 %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70.5 %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95.82</w:t>
            </w:r>
          </w:p>
        </w:tc>
      </w:tr>
      <w:tr>
        <w:trPr>
          <w:trHeight w:val="175"/>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Two</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801,655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85.0 %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85.0 %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84.33</w:t>
            </w:r>
          </w:p>
        </w:tc>
      </w:tr>
      <w:tr>
        <w:trPr>
          <w:trHeight w:val="176"/>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Three</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777,455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82.9 %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82.9 %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93.29</w:t>
            </w:r>
          </w:p>
        </w:tc>
      </w:tr>
      <w:tr>
        <w:trPr>
          <w:trHeight w:val="176"/>
        </w:trPr>
        <w:tc>
          <w:tcPr>
            <w:tcW w:w="360" w:type="dxa"/>
            <w:vAlign w:val="bottom"/>
          </w:tcPr>
          <w:p>
            <w:pPr>
              <w:ind w:left="120"/>
              <w:spacing w:after="0"/>
              <w:rPr>
                <w:sz w:val="20"/>
                <w:szCs w:val="20"/>
                <w:color w:val="auto"/>
              </w:rPr>
            </w:pPr>
            <w:r>
              <w:rPr>
                <w:rFonts w:ascii="Arial" w:cs="Arial" w:eastAsia="Arial" w:hAnsi="Arial"/>
                <w:sz w:val="13"/>
                <w:szCs w:val="13"/>
                <w:color w:val="auto"/>
              </w:rPr>
              <w:t>680</w:t>
            </w:r>
          </w:p>
        </w:tc>
        <w:tc>
          <w:tcPr>
            <w:tcW w:w="2180" w:type="dxa"/>
            <w:vAlign w:val="bottom"/>
          </w:tcPr>
          <w:p>
            <w:pPr>
              <w:ind w:left="20"/>
              <w:spacing w:after="0"/>
              <w:rPr>
                <w:sz w:val="20"/>
                <w:szCs w:val="20"/>
                <w:color w:val="auto"/>
              </w:rPr>
            </w:pPr>
            <w:r>
              <w:rPr>
                <w:rFonts w:ascii="Arial" w:cs="Arial" w:eastAsia="Arial" w:hAnsi="Arial"/>
                <w:sz w:val="13"/>
                <w:szCs w:val="13"/>
                <w:color w:val="auto"/>
              </w:rPr>
              <w:t>Folsom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522,406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59.2 %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59.2 %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81.38</w:t>
            </w:r>
          </w:p>
        </w:tc>
      </w:tr>
      <w:tr>
        <w:trPr>
          <w:trHeight w:val="175"/>
        </w:trPr>
        <w:tc>
          <w:tcPr>
            <w:tcW w:w="360" w:type="dxa"/>
            <w:vAlign w:val="bottom"/>
          </w:tcPr>
          <w:p>
            <w:pPr>
              <w:ind w:left="120"/>
              <w:spacing w:after="0"/>
              <w:rPr>
                <w:sz w:val="20"/>
                <w:szCs w:val="20"/>
                <w:color w:val="auto"/>
              </w:rPr>
            </w:pPr>
            <w:r>
              <w:rPr>
                <w:rFonts w:ascii="Arial" w:cs="Arial" w:eastAsia="Arial" w:hAnsi="Arial"/>
                <w:sz w:val="13"/>
                <w:szCs w:val="13"/>
                <w:color w:val="auto"/>
              </w:rPr>
              <w:t>535</w:t>
            </w:r>
          </w:p>
        </w:tc>
        <w:tc>
          <w:tcPr>
            <w:tcW w:w="2180" w:type="dxa"/>
            <w:vAlign w:val="bottom"/>
          </w:tcPr>
          <w:p>
            <w:pPr>
              <w:ind w:left="20"/>
              <w:spacing w:after="0"/>
              <w:rPr>
                <w:sz w:val="20"/>
                <w:szCs w:val="20"/>
                <w:color w:val="auto"/>
              </w:rPr>
            </w:pPr>
            <w:r>
              <w:rPr>
                <w:rFonts w:ascii="Arial" w:cs="Arial" w:eastAsia="Arial" w:hAnsi="Arial"/>
                <w:sz w:val="13"/>
                <w:szCs w:val="13"/>
                <w:color w:val="auto"/>
              </w:rPr>
              <w:t>Mission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307,235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65.9 %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66.5 %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77.89</w:t>
            </w:r>
          </w:p>
        </w:tc>
      </w:tr>
      <w:tr>
        <w:trPr>
          <w:trHeight w:val="183"/>
        </w:trPr>
        <w:tc>
          <w:tcPr>
            <w:tcW w:w="360" w:type="dxa"/>
            <w:vAlign w:val="bottom"/>
          </w:tcPr>
          <w:p>
            <w:pPr>
              <w:ind w:left="120"/>
              <w:spacing w:after="0"/>
              <w:rPr>
                <w:sz w:val="20"/>
                <w:szCs w:val="20"/>
                <w:color w:val="auto"/>
              </w:rPr>
            </w:pPr>
            <w:r>
              <w:rPr>
                <w:rFonts w:ascii="Arial" w:cs="Arial" w:eastAsia="Arial" w:hAnsi="Arial"/>
                <w:sz w:val="13"/>
                <w:szCs w:val="13"/>
                <w:color w:val="auto"/>
              </w:rPr>
              <w:t>690</w:t>
            </w:r>
          </w:p>
        </w:tc>
        <w:tc>
          <w:tcPr>
            <w:tcW w:w="2180" w:type="dxa"/>
            <w:vAlign w:val="bottom"/>
          </w:tcPr>
          <w:p>
            <w:pPr>
              <w:ind w:left="20"/>
              <w:spacing w:after="0"/>
              <w:rPr>
                <w:sz w:val="20"/>
                <w:szCs w:val="20"/>
                <w:color w:val="auto"/>
              </w:rPr>
            </w:pPr>
            <w:r>
              <w:rPr>
                <w:rFonts w:ascii="Arial" w:cs="Arial" w:eastAsia="Arial" w:hAnsi="Arial"/>
                <w:sz w:val="13"/>
                <w:szCs w:val="13"/>
                <w:color w:val="auto"/>
              </w:rPr>
              <w:t>Folsom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26,080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111.90</w:t>
            </w:r>
          </w:p>
        </w:tc>
      </w:tr>
      <w:tr>
        <w:trPr>
          <w:trHeight w:val="169"/>
        </w:trPr>
        <w:tc>
          <w:tcPr>
            <w:tcW w:w="36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Subtotal</w:t>
            </w:r>
          </w:p>
        </w:tc>
        <w:tc>
          <w:tcPr>
            <w:tcW w:w="28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5,635,423</w:t>
            </w:r>
          </w:p>
        </w:tc>
        <w:tc>
          <w:tcPr>
            <w:tcW w:w="1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84.2 %</w:t>
            </w: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84.5 %</w:t>
            </w:r>
          </w:p>
        </w:tc>
        <w:tc>
          <w:tcPr>
            <w:tcW w:w="2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97.25</w:t>
            </w:r>
          </w:p>
        </w:tc>
      </w:tr>
      <w:tr>
        <w:trPr>
          <w:trHeight w:val="364"/>
        </w:trPr>
        <w:tc>
          <w:tcPr>
            <w:tcW w:w="2540" w:type="dxa"/>
            <w:vAlign w:val="bottom"/>
            <w:gridSpan w:val="2"/>
          </w:tcPr>
          <w:p>
            <w:pPr>
              <w:spacing w:after="0"/>
              <w:rPr>
                <w:sz w:val="20"/>
                <w:szCs w:val="20"/>
                <w:color w:val="auto"/>
              </w:rPr>
            </w:pPr>
            <w:r>
              <w:rPr>
                <w:rFonts w:ascii="Arial" w:cs="Arial" w:eastAsia="Arial" w:hAnsi="Arial"/>
                <w:sz w:val="13"/>
                <w:szCs w:val="13"/>
                <w:color w:val="auto"/>
              </w:rPr>
              <w:t>Residential</w:t>
            </w: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The Skylyne (402 units)</w:t>
            </w:r>
          </w:p>
        </w:tc>
        <w:tc>
          <w:tcPr>
            <w:tcW w:w="2880" w:type="dxa"/>
            <w:vAlign w:val="bottom"/>
          </w:tcPr>
          <w:p>
            <w:pPr>
              <w:ind w:left="900"/>
              <w:spacing w:after="0"/>
              <w:rPr>
                <w:sz w:val="20"/>
                <w:szCs w:val="20"/>
                <w:color w:val="auto"/>
              </w:rPr>
            </w:pPr>
            <w:r>
              <w:rPr>
                <w:rFonts w:ascii="Arial" w:cs="Arial" w:eastAsia="Arial" w:hAnsi="Arial"/>
                <w:sz w:val="13"/>
                <w:szCs w:val="13"/>
                <w:color w:val="auto"/>
              </w:rPr>
              <w:t>CBD Oakland CA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330,996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1"/>
        </w:trPr>
        <w:tc>
          <w:tcPr>
            <w:tcW w:w="36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Subtotal</w:t>
            </w:r>
          </w:p>
        </w:tc>
        <w:tc>
          <w:tcPr>
            <w:tcW w:w="2880" w:type="dxa"/>
            <w:vAlign w:val="bottom"/>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330,996</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SEATTLE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80" w:type="dxa"/>
            <w:vAlign w:val="bottom"/>
          </w:tcPr>
          <w:p>
            <w:pPr>
              <w:spacing w:after="0"/>
              <w:rPr>
                <w:sz w:val="20"/>
                <w:szCs w:val="20"/>
                <w:color w:val="auto"/>
              </w:rPr>
            </w:pPr>
            <w:r>
              <w:rPr>
                <w:rFonts w:ascii="Arial" w:cs="Arial" w:eastAsia="Arial" w:hAnsi="Arial"/>
                <w:sz w:val="13"/>
                <w:szCs w:val="13"/>
                <w:color w:val="auto"/>
              </w:rPr>
              <w:t>Office</w:t>
            </w:r>
          </w:p>
        </w:tc>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2780" w:type="dxa"/>
            <w:vAlign w:val="bottom"/>
          </w:tcPr>
          <w:p>
            <w:pPr>
              <w:ind w:left="120"/>
              <w:spacing w:after="0"/>
              <w:rPr>
                <w:sz w:val="20"/>
                <w:szCs w:val="20"/>
                <w:color w:val="auto"/>
              </w:rPr>
            </w:pPr>
            <w:r>
              <w:rPr>
                <w:rFonts w:ascii="Arial" w:cs="Arial" w:eastAsia="Arial" w:hAnsi="Arial"/>
                <w:sz w:val="13"/>
                <w:szCs w:val="13"/>
                <w:color w:val="auto"/>
              </w:rPr>
              <w:t xml:space="preserve">Safeco Plaza (33.67% ownership) </w:t>
            </w:r>
            <w:r>
              <w:rPr>
                <w:rFonts w:ascii="Arial" w:cs="Arial" w:eastAsia="Arial" w:hAnsi="Arial"/>
                <w:sz w:val="16"/>
                <w:szCs w:val="16"/>
                <w:color w:val="auto"/>
                <w:vertAlign w:val="superscript"/>
              </w:rPr>
              <w:t>4</w:t>
            </w:r>
          </w:p>
        </w:tc>
        <w:tc>
          <w:tcPr>
            <w:tcW w:w="2640" w:type="dxa"/>
            <w:vAlign w:val="bottom"/>
          </w:tcPr>
          <w:p>
            <w:pPr>
              <w:ind w:left="660"/>
              <w:spacing w:after="0"/>
              <w:rPr>
                <w:sz w:val="20"/>
                <w:szCs w:val="20"/>
                <w:color w:val="auto"/>
              </w:rPr>
            </w:pPr>
            <w:r>
              <w:rPr>
                <w:rFonts w:ascii="Arial" w:cs="Arial" w:eastAsia="Arial" w:hAnsi="Arial"/>
                <w:sz w:val="13"/>
                <w:szCs w:val="13"/>
                <w:color w:val="auto"/>
              </w:rPr>
              <w:t>CBD Seattle WA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761,978</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83.8 %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86.5 %</w:t>
            </w:r>
          </w:p>
        </w:tc>
        <w:tc>
          <w:tcPr>
            <w:tcW w:w="220" w:type="dxa"/>
            <w:vAlign w:val="bottom"/>
          </w:tcPr>
          <w:p>
            <w:pPr>
              <w:spacing w:after="0"/>
              <w:rPr>
                <w:sz w:val="16"/>
                <w:szCs w:val="16"/>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47.63</w:t>
            </w:r>
          </w:p>
        </w:tc>
      </w:tr>
      <w:tr>
        <w:trPr>
          <w:trHeight w:val="173"/>
        </w:trPr>
        <w:tc>
          <w:tcPr>
            <w:tcW w:w="2780" w:type="dxa"/>
            <w:vAlign w:val="bottom"/>
          </w:tcPr>
          <w:p>
            <w:pPr>
              <w:ind w:left="120"/>
              <w:spacing w:after="0"/>
              <w:rPr>
                <w:sz w:val="20"/>
                <w:szCs w:val="20"/>
                <w:color w:val="auto"/>
              </w:rPr>
            </w:pPr>
            <w:r>
              <w:rPr>
                <w:rFonts w:ascii="Arial" w:cs="Arial" w:eastAsia="Arial" w:hAnsi="Arial"/>
                <w:sz w:val="13"/>
                <w:szCs w:val="13"/>
                <w:color w:val="auto"/>
              </w:rPr>
              <w:t>Madison Centre</w:t>
            </w:r>
          </w:p>
        </w:tc>
        <w:tc>
          <w:tcPr>
            <w:tcW w:w="2640" w:type="dxa"/>
            <w:vAlign w:val="bottom"/>
          </w:tcPr>
          <w:p>
            <w:pPr>
              <w:ind w:left="660"/>
              <w:spacing w:after="0"/>
              <w:rPr>
                <w:sz w:val="20"/>
                <w:szCs w:val="20"/>
                <w:color w:val="auto"/>
              </w:rPr>
            </w:pPr>
            <w:r>
              <w:rPr>
                <w:rFonts w:ascii="Arial" w:cs="Arial" w:eastAsia="Arial" w:hAnsi="Arial"/>
                <w:sz w:val="13"/>
                <w:szCs w:val="13"/>
                <w:color w:val="auto"/>
              </w:rPr>
              <w:t>CBD Seattle WA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755,162</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66.66</w:t>
            </w:r>
          </w:p>
        </w:tc>
      </w:tr>
      <w:tr>
        <w:trPr>
          <w:trHeight w:val="171"/>
        </w:trPr>
        <w:tc>
          <w:tcPr>
            <w:tcW w:w="278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640" w:type="dxa"/>
            <w:vAlign w:val="bottom"/>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1,517,140</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83.0 %</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56.65</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WASHINGTON, DC </w:t>
      </w:r>
      <w:r>
        <w:rPr>
          <w:rFonts w:ascii="Arial" w:cs="Arial" w:eastAsia="Arial" w:hAnsi="Arial"/>
          <w:sz w:val="18"/>
          <w:szCs w:val="18"/>
          <w:b w:val="1"/>
          <w:bCs w:val="1"/>
          <w:i w:val="1"/>
          <w:iCs w:val="1"/>
          <w:color w:val="auto"/>
          <w:vertAlign w:val="superscript"/>
        </w:rPr>
        <w:t>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60" w:type="dxa"/>
            <w:vAlign w:val="bottom"/>
          </w:tcPr>
          <w:p>
            <w:pPr>
              <w:spacing w:after="0"/>
              <w:rPr>
                <w:sz w:val="20"/>
                <w:szCs w:val="20"/>
                <w:color w:val="auto"/>
              </w:rPr>
            </w:pPr>
            <w:r>
              <w:rPr>
                <w:rFonts w:ascii="Arial" w:cs="Arial" w:eastAsia="Arial" w:hAnsi="Arial"/>
                <w:sz w:val="13"/>
                <w:szCs w:val="13"/>
                <w:color w:val="auto"/>
              </w:rPr>
              <w:t>Office</w:t>
            </w:r>
          </w:p>
        </w:tc>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316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901 New York Avenue </w:t>
            </w:r>
            <w:r>
              <w:rPr>
                <w:rFonts w:ascii="Arial" w:cs="Arial" w:eastAsia="Arial" w:hAnsi="Arial"/>
                <w:sz w:val="16"/>
                <w:szCs w:val="16"/>
                <w:color w:val="auto"/>
                <w:vertAlign w:val="superscript"/>
              </w:rPr>
              <w:t>8</w:t>
            </w:r>
          </w:p>
        </w:tc>
        <w:tc>
          <w:tcPr>
            <w:tcW w:w="2260" w:type="dxa"/>
            <w:vAlign w:val="bottom"/>
          </w:tcPr>
          <w:p>
            <w:pPr>
              <w:ind w:left="280"/>
              <w:spacing w:after="0"/>
              <w:rPr>
                <w:sz w:val="20"/>
                <w:szCs w:val="20"/>
                <w:color w:val="auto"/>
              </w:rPr>
            </w:pPr>
            <w:r>
              <w:rPr>
                <w:rFonts w:ascii="Arial" w:cs="Arial" w:eastAsia="Arial" w:hAnsi="Arial"/>
                <w:sz w:val="13"/>
                <w:szCs w:val="13"/>
                <w:color w:val="auto"/>
              </w:rPr>
              <w:t>East End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509,088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84.9 %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85.2 %</w:t>
            </w:r>
          </w:p>
        </w:tc>
        <w:tc>
          <w:tcPr>
            <w:tcW w:w="220" w:type="dxa"/>
            <w:vAlign w:val="bottom"/>
          </w:tcPr>
          <w:p>
            <w:pPr>
              <w:spacing w:after="0"/>
              <w:rPr>
                <w:sz w:val="15"/>
                <w:szCs w:val="15"/>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68.01</w:t>
            </w:r>
          </w:p>
        </w:tc>
      </w:tr>
      <w:tr>
        <w:trPr>
          <w:trHeight w:val="175"/>
        </w:trPr>
        <w:tc>
          <w:tcPr>
            <w:tcW w:w="316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Market Square North (50% ownership) </w:t>
            </w:r>
            <w:r>
              <w:rPr>
                <w:rFonts w:ascii="Arial" w:cs="Arial" w:eastAsia="Arial" w:hAnsi="Arial"/>
                <w:sz w:val="16"/>
                <w:szCs w:val="16"/>
                <w:color w:val="auto"/>
                <w:vertAlign w:val="superscript"/>
              </w:rPr>
              <w:t>4</w:t>
            </w:r>
          </w:p>
        </w:tc>
        <w:tc>
          <w:tcPr>
            <w:tcW w:w="2260" w:type="dxa"/>
            <w:vAlign w:val="bottom"/>
          </w:tcPr>
          <w:p>
            <w:pPr>
              <w:ind w:left="280"/>
              <w:spacing w:after="0"/>
              <w:rPr>
                <w:sz w:val="20"/>
                <w:szCs w:val="20"/>
                <w:color w:val="auto"/>
              </w:rPr>
            </w:pPr>
            <w:r>
              <w:rPr>
                <w:rFonts w:ascii="Arial" w:cs="Arial" w:eastAsia="Arial" w:hAnsi="Arial"/>
                <w:sz w:val="13"/>
                <w:szCs w:val="13"/>
                <w:color w:val="auto"/>
              </w:rPr>
              <w:t>East End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417,298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76.2 %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73.36</w:t>
            </w:r>
          </w:p>
        </w:tc>
      </w:tr>
      <w:tr>
        <w:trPr>
          <w:trHeight w:val="166"/>
        </w:trPr>
        <w:tc>
          <w:tcPr>
            <w:tcW w:w="3160" w:type="dxa"/>
            <w:vAlign w:val="bottom"/>
          </w:tcPr>
          <w:p>
            <w:pPr>
              <w:ind w:left="120"/>
              <w:spacing w:after="0"/>
              <w:rPr>
                <w:sz w:val="20"/>
                <w:szCs w:val="20"/>
                <w:color w:val="auto"/>
              </w:rPr>
            </w:pPr>
            <w:r>
              <w:rPr>
                <w:rFonts w:ascii="Arial" w:cs="Arial" w:eastAsia="Arial" w:hAnsi="Arial"/>
                <w:sz w:val="13"/>
                <w:szCs w:val="13"/>
                <w:color w:val="auto"/>
              </w:rPr>
              <w:t>2100 Pennsylvania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475,849</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94.2 %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95.0 %</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78.20</w:t>
            </w:r>
          </w:p>
        </w:tc>
      </w:tr>
      <w:tr>
        <w:trPr>
          <w:trHeight w:val="176"/>
        </w:trPr>
        <w:tc>
          <w:tcPr>
            <w:tcW w:w="3160" w:type="dxa"/>
            <w:vAlign w:val="bottom"/>
          </w:tcPr>
          <w:p>
            <w:pPr>
              <w:ind w:left="120"/>
              <w:spacing w:after="0"/>
              <w:rPr>
                <w:sz w:val="20"/>
                <w:szCs w:val="20"/>
                <w:color w:val="auto"/>
              </w:rPr>
            </w:pPr>
            <w:r>
              <w:rPr>
                <w:rFonts w:ascii="Arial" w:cs="Arial" w:eastAsia="Arial" w:hAnsi="Arial"/>
                <w:sz w:val="13"/>
                <w:szCs w:val="13"/>
                <w:color w:val="auto"/>
              </w:rPr>
              <w:t>2200 Pennsylvania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459,811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94.9 %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97.5 %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90.36</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1330 Connecticut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253,579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94.6 %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71.07</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Sumner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219,412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86.1 %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48.92</w:t>
            </w:r>
          </w:p>
        </w:tc>
      </w:tr>
      <w:tr>
        <w:trPr>
          <w:trHeight w:val="185"/>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500 North Capitol Street, N.W. (30% ownership) </w:t>
            </w:r>
            <w:r>
              <w:rPr>
                <w:rFonts w:ascii="Arial" w:cs="Arial" w:eastAsia="Arial" w:hAnsi="Arial"/>
                <w:sz w:val="16"/>
                <w:szCs w:val="16"/>
                <w:color w:val="auto"/>
                <w:vertAlign w:val="superscript"/>
              </w:rPr>
              <w:t>4</w:t>
            </w:r>
          </w:p>
        </w:tc>
        <w:tc>
          <w:tcPr>
            <w:tcW w:w="2260" w:type="dxa"/>
            <w:vAlign w:val="bottom"/>
          </w:tcPr>
          <w:p>
            <w:pPr>
              <w:ind w:left="280"/>
              <w:spacing w:after="0"/>
              <w:rPr>
                <w:sz w:val="20"/>
                <w:szCs w:val="20"/>
                <w:color w:val="auto"/>
              </w:rPr>
            </w:pPr>
            <w:r>
              <w:rPr>
                <w:rFonts w:ascii="Arial" w:cs="Arial" w:eastAsia="Arial" w:hAnsi="Arial"/>
                <w:sz w:val="13"/>
                <w:szCs w:val="13"/>
                <w:color w:val="auto"/>
              </w:rPr>
              <w:t>Capitol Hill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230,900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98.5 %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81.79</w:t>
            </w:r>
          </w:p>
        </w:tc>
      </w:tr>
      <w:tr>
        <w:trPr>
          <w:trHeight w:val="173"/>
        </w:trPr>
        <w:tc>
          <w:tcPr>
            <w:tcW w:w="3160" w:type="dxa"/>
            <w:vAlign w:val="bottom"/>
          </w:tcPr>
          <w:p>
            <w:pPr>
              <w:ind w:left="120"/>
              <w:spacing w:after="0"/>
              <w:rPr>
                <w:sz w:val="20"/>
                <w:szCs w:val="20"/>
                <w:color w:val="auto"/>
              </w:rPr>
            </w:pPr>
            <w:r>
              <w:rPr>
                <w:rFonts w:ascii="Arial" w:cs="Arial" w:eastAsia="Arial" w:hAnsi="Arial"/>
                <w:sz w:val="13"/>
                <w:szCs w:val="13"/>
                <w:color w:val="auto"/>
              </w:rPr>
              <w:t>Capital Gallery</w:t>
            </w:r>
          </w:p>
        </w:tc>
        <w:tc>
          <w:tcPr>
            <w:tcW w:w="2260" w:type="dxa"/>
            <w:vAlign w:val="bottom"/>
          </w:tcPr>
          <w:p>
            <w:pPr>
              <w:ind w:left="280"/>
              <w:spacing w:after="0"/>
              <w:rPr>
                <w:sz w:val="20"/>
                <w:szCs w:val="20"/>
                <w:color w:val="auto"/>
              </w:rPr>
            </w:pPr>
            <w:r>
              <w:rPr>
                <w:rFonts w:ascii="Arial" w:cs="Arial" w:eastAsia="Arial" w:hAnsi="Arial"/>
                <w:sz w:val="13"/>
                <w:szCs w:val="13"/>
                <w:color w:val="auto"/>
              </w:rPr>
              <w:t>Southwest Washington DC</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176,824</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56.29</w:t>
            </w:r>
          </w:p>
        </w:tc>
      </w:tr>
      <w:tr>
        <w:trPr>
          <w:trHeight w:val="171"/>
        </w:trPr>
        <w:tc>
          <w:tcPr>
            <w:tcW w:w="31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2,742,761</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90.1 %</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73.88</w:t>
            </w:r>
          </w:p>
        </w:tc>
      </w:tr>
      <w:tr>
        <w:trPr>
          <w:trHeight w:val="362"/>
        </w:trPr>
        <w:tc>
          <w:tcPr>
            <w:tcW w:w="3160" w:type="dxa"/>
            <w:vAlign w:val="bottom"/>
          </w:tcPr>
          <w:p>
            <w:pPr>
              <w:ind w:left="120"/>
              <w:spacing w:after="0"/>
              <w:rPr>
                <w:sz w:val="20"/>
                <w:szCs w:val="20"/>
                <w:color w:val="auto"/>
              </w:rPr>
            </w:pPr>
            <w:r>
              <w:rPr>
                <w:rFonts w:ascii="Arial" w:cs="Arial" w:eastAsia="Arial" w:hAnsi="Arial"/>
                <w:sz w:val="13"/>
                <w:szCs w:val="13"/>
                <w:color w:val="auto"/>
              </w:rPr>
              <w:t>Reston Next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1,063,284</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91.7 %</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96.6 %</w:t>
            </w:r>
          </w:p>
        </w:tc>
        <w:tc>
          <w:tcPr>
            <w:tcW w:w="22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61.48</w:t>
            </w:r>
          </w:p>
        </w:tc>
      </w:tr>
      <w:tr>
        <w:trPr>
          <w:trHeight w:val="176"/>
        </w:trPr>
        <w:tc>
          <w:tcPr>
            <w:tcW w:w="3160" w:type="dxa"/>
            <w:vAlign w:val="bottom"/>
          </w:tcPr>
          <w:p>
            <w:pPr>
              <w:ind w:left="120"/>
              <w:spacing w:after="0"/>
              <w:rPr>
                <w:sz w:val="20"/>
                <w:szCs w:val="20"/>
                <w:color w:val="auto"/>
              </w:rPr>
            </w:pPr>
            <w:r>
              <w:rPr>
                <w:rFonts w:ascii="Arial" w:cs="Arial" w:eastAsia="Arial" w:hAnsi="Arial"/>
                <w:sz w:val="13"/>
                <w:szCs w:val="13"/>
                <w:color w:val="auto"/>
              </w:rPr>
              <w:t>South of Market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624,387</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99.6 %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56.11</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Fountain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524,589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93.8 %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53.59</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One Freedom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427,646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88.9 %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88.9 %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52.85</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Two Freedom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423,222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99.8 %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53.14</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One and Two Discovery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366,989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89.7 %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52.89</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One Reston Overlook</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319,519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91.3 %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49.38</w:t>
            </w:r>
          </w:p>
        </w:tc>
      </w:tr>
      <w:tr>
        <w:trPr>
          <w:trHeight w:val="176"/>
        </w:trPr>
        <w:tc>
          <w:tcPr>
            <w:tcW w:w="3160" w:type="dxa"/>
            <w:vAlign w:val="bottom"/>
          </w:tcPr>
          <w:p>
            <w:pPr>
              <w:ind w:left="120"/>
              <w:spacing w:after="0"/>
              <w:rPr>
                <w:sz w:val="20"/>
                <w:szCs w:val="20"/>
                <w:color w:val="auto"/>
              </w:rPr>
            </w:pPr>
            <w:r>
              <w:rPr>
                <w:rFonts w:ascii="Arial" w:cs="Arial" w:eastAsia="Arial" w:hAnsi="Arial"/>
                <w:sz w:val="13"/>
                <w:szCs w:val="13"/>
                <w:color w:val="auto"/>
              </w:rPr>
              <w:t>17Fifty Presidents Street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275,809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72.49</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Reston Corporate Center</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261,046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49.24</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Democracy Tower</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259,441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99.3 %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99.3 %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66.68</w:t>
            </w:r>
          </w:p>
        </w:tc>
      </w:tr>
      <w:tr>
        <w:trPr>
          <w:trHeight w:val="185"/>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Fountain Square Retail </w:t>
            </w:r>
            <w:r>
              <w:rPr>
                <w:rFonts w:ascii="Arial" w:cs="Arial" w:eastAsia="Arial" w:hAnsi="Arial"/>
                <w:sz w:val="16"/>
                <w:szCs w:val="16"/>
                <w:color w:val="auto"/>
                <w:vertAlign w:val="superscript"/>
              </w:rPr>
              <w:t>5</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197,081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94.9 %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52.23</w:t>
            </w:r>
          </w:p>
        </w:tc>
      </w:tr>
      <w:tr>
        <w:trPr>
          <w:trHeight w:val="166"/>
        </w:trPr>
        <w:tc>
          <w:tcPr>
            <w:tcW w:w="3160" w:type="dxa"/>
            <w:vAlign w:val="bottom"/>
          </w:tcPr>
          <w:p>
            <w:pPr>
              <w:ind w:left="120"/>
              <w:spacing w:after="0"/>
              <w:rPr>
                <w:sz w:val="20"/>
                <w:szCs w:val="20"/>
                <w:color w:val="auto"/>
              </w:rPr>
            </w:pPr>
            <w:r>
              <w:rPr>
                <w:rFonts w:ascii="Arial" w:cs="Arial" w:eastAsia="Arial" w:hAnsi="Arial"/>
                <w:sz w:val="13"/>
                <w:szCs w:val="13"/>
                <w:color w:val="auto"/>
              </w:rPr>
              <w:t>Two Reston Overlook</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134,615</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53.65</w:t>
            </w:r>
          </w:p>
        </w:tc>
      </w:tr>
      <w:tr>
        <w:trPr>
          <w:trHeight w:val="190"/>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Avant Retail </w:t>
            </w:r>
            <w:r>
              <w:rPr>
                <w:rFonts w:ascii="Arial" w:cs="Arial" w:eastAsia="Arial" w:hAnsi="Arial"/>
                <w:sz w:val="16"/>
                <w:szCs w:val="16"/>
                <w:color w:val="auto"/>
                <w:vertAlign w:val="superscript"/>
              </w:rPr>
              <w:t>5</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26,179</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62.11</w:t>
            </w:r>
          </w:p>
        </w:tc>
      </w:tr>
      <w:tr>
        <w:trPr>
          <w:trHeight w:val="164"/>
        </w:trPr>
        <w:tc>
          <w:tcPr>
            <w:tcW w:w="31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4,903,807</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94.5 %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96.6 %</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56.79</w:t>
            </w: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00"/>
          </w:cols>
          <w:pgMar w:left="460" w:top="265" w:right="339" w:bottom="1440" w:gutter="0" w:footer="0" w:header="0"/>
        </w:sectPr>
      </w:pPr>
    </w:p>
    <w:bookmarkStart w:id="31" w:name="page32"/>
    <w:bookmarkEnd w:id="3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-61595</wp:posOffset>
            </wp:positionV>
            <wp:extent cx="25717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of September 30,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Annualized Rental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120" w:type="dxa"/>
            <w:vAlign w:val="bottom"/>
            <w:gridSpan w:val="2"/>
          </w:tcPr>
          <w:p>
            <w:pPr>
              <w:jc w:val="right"/>
              <w:ind w:right="140"/>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65"/>
        </w:trPr>
        <w:tc>
          <w:tcPr>
            <w:tcW w:w="3520" w:type="dxa"/>
            <w:vAlign w:val="bottom"/>
            <w:gridSpan w:val="2"/>
          </w:tcPr>
          <w:p>
            <w:pPr>
              <w:ind w:left="240"/>
              <w:spacing w:after="0" w:line="165" w:lineRule="exact"/>
              <w:rPr>
                <w:sz w:val="20"/>
                <w:szCs w:val="20"/>
                <w:color w:val="auto"/>
              </w:rPr>
            </w:pPr>
            <w:r>
              <w:rPr>
                <w:rFonts w:ascii="Arial" w:cs="Arial" w:eastAsia="Arial" w:hAnsi="Arial"/>
                <w:sz w:val="13"/>
                <w:szCs w:val="13"/>
                <w:color w:val="auto"/>
              </w:rPr>
              <w:t xml:space="preserve">7750 Wisconsin Avenue (50% ownership) </w:t>
            </w:r>
            <w:r>
              <w:rPr>
                <w:rFonts w:ascii="Arial" w:cs="Arial" w:eastAsia="Arial" w:hAnsi="Arial"/>
                <w:sz w:val="16"/>
                <w:szCs w:val="16"/>
                <w:color w:val="auto"/>
                <w:vertAlign w:val="superscript"/>
              </w:rPr>
              <w:t>4</w:t>
            </w:r>
          </w:p>
        </w:tc>
        <w:tc>
          <w:tcPr>
            <w:tcW w:w="18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Bethesda/Chevy Chase MD</w:t>
            </w:r>
          </w:p>
        </w:tc>
        <w:tc>
          <w:tcPr>
            <w:tcW w:w="12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735,573</w:t>
            </w:r>
          </w:p>
        </w:tc>
        <w:tc>
          <w:tcPr>
            <w:tcW w:w="16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Wisconsin Place Office</w:t>
            </w:r>
          </w:p>
        </w:tc>
        <w:tc>
          <w:tcPr>
            <w:tcW w:w="1980" w:type="dxa"/>
            <w:vAlign w:val="bottom"/>
            <w:gridSpan w:val="2"/>
          </w:tcPr>
          <w:p>
            <w:pPr>
              <w:spacing w:after="0"/>
              <w:rPr>
                <w:sz w:val="20"/>
                <w:szCs w:val="20"/>
                <w:color w:val="auto"/>
              </w:rPr>
            </w:pPr>
            <w:r>
              <w:rPr>
                <w:rFonts w:ascii="Arial" w:cs="Arial" w:eastAsia="Arial" w:hAnsi="Arial"/>
                <w:sz w:val="13"/>
                <w:szCs w:val="13"/>
                <w:color w:val="auto"/>
              </w:rPr>
              <w:t>Montgomery County MD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294,040</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1,029,613</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Subtotal Washington, DC CBD</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8,676,181</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91.4 %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93.5 %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Signature at Reston (508 units)</w:t>
            </w:r>
          </w:p>
        </w:tc>
        <w:tc>
          <w:tcPr>
            <w:tcW w:w="1980" w:type="dxa"/>
            <w:vAlign w:val="bottom"/>
            <w:gridSpan w:val="2"/>
          </w:tcPr>
          <w:p>
            <w:pPr>
              <w:spacing w:after="0"/>
              <w:rPr>
                <w:sz w:val="20"/>
                <w:szCs w:val="20"/>
                <w:color w:val="auto"/>
              </w:rPr>
            </w:pPr>
            <w:r>
              <w:rPr>
                <w:rFonts w:ascii="Arial" w:cs="Arial" w:eastAsia="Arial" w:hAnsi="Arial"/>
                <w:sz w:val="13"/>
                <w:szCs w:val="13"/>
                <w:color w:val="auto"/>
              </w:rPr>
              <w:t>Reston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517,783</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517,783</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CBD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103</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41,215,000</w:t>
            </w:r>
          </w:p>
        </w:tc>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 xml:space="preserve">90.1 % </w:t>
            </w:r>
            <w:r>
              <w:rPr>
                <w:rFonts w:ascii="Arial" w:cs="Arial" w:eastAsia="Arial" w:hAnsi="Arial"/>
                <w:sz w:val="17"/>
                <w:szCs w:val="17"/>
                <w:color w:val="auto"/>
                <w:vertAlign w:val="superscript"/>
              </w:rPr>
              <w:t>11</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 xml:space="preserve">92.1 % </w:t>
            </w:r>
            <w:r>
              <w:rPr>
                <w:rFonts w:ascii="Arial" w:cs="Arial" w:eastAsia="Arial" w:hAnsi="Arial"/>
                <w:sz w:val="17"/>
                <w:szCs w:val="17"/>
                <w:color w:val="auto"/>
                <w:vertAlign w:val="superscript"/>
              </w:rPr>
              <w:t>11</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 xml:space="preserve">85.00 </w:t>
            </w:r>
            <w:r>
              <w:rPr>
                <w:rFonts w:ascii="Arial" w:cs="Arial" w:eastAsia="Arial" w:hAnsi="Arial"/>
                <w:sz w:val="17"/>
                <w:szCs w:val="17"/>
                <w:color w:val="auto"/>
                <w:vertAlign w:val="superscript"/>
              </w:rPr>
              <w:t>11</w:t>
            </w: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BXP’s Share of CBD</w:t>
            </w: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 xml:space="preserve">90.5 % </w:t>
            </w:r>
            <w:r>
              <w:rPr>
                <w:rFonts w:ascii="Arial" w:cs="Arial" w:eastAsia="Arial" w:hAnsi="Arial"/>
                <w:sz w:val="17"/>
                <w:szCs w:val="17"/>
                <w:color w:val="auto"/>
                <w:vertAlign w:val="superscript"/>
              </w:rPr>
              <w:t>11</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 xml:space="preserve">92.4 % </w:t>
            </w:r>
            <w:r>
              <w:rPr>
                <w:rFonts w:ascii="Arial" w:cs="Arial" w:eastAsia="Arial" w:hAnsi="Arial"/>
                <w:sz w:val="17"/>
                <w:szCs w:val="17"/>
                <w:color w:val="auto"/>
                <w:vertAlign w:val="superscript"/>
              </w:rPr>
              <w:t>11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SUBURBAN</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BOSTON</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Bay Colony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546,248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77.8 %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48.47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Reservoir Place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526,215</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36.6 %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47.6 %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140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Kendrick Street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418,600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74.6 %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Weston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356,995</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180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CityPoint </w:t>
            </w:r>
            <w:r>
              <w:rPr>
                <w:rFonts w:ascii="Arial" w:cs="Arial" w:eastAsia="Arial" w:hAnsi="Arial"/>
                <w:sz w:val="16"/>
                <w:szCs w:val="16"/>
                <w:color w:val="auto"/>
                <w:vertAlign w:val="superscript"/>
              </w:rPr>
              <w:t>7, 8</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329,195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43.2 %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43.2 %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Waltham Weston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301,611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75.5 %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75.5 %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230</w:t>
            </w:r>
          </w:p>
        </w:tc>
        <w:tc>
          <w:tcPr>
            <w:tcW w:w="3040" w:type="dxa"/>
            <w:vAlign w:val="bottom"/>
          </w:tcPr>
          <w:p>
            <w:pPr>
              <w:ind w:left="20"/>
              <w:spacing w:after="0"/>
              <w:rPr>
                <w:sz w:val="20"/>
                <w:szCs w:val="20"/>
                <w:color w:val="auto"/>
              </w:rPr>
            </w:pPr>
            <w:r>
              <w:rPr>
                <w:rFonts w:ascii="Arial" w:cs="Arial" w:eastAsia="Arial" w:hAnsi="Arial"/>
                <w:sz w:val="13"/>
                <w:szCs w:val="13"/>
                <w:color w:val="auto"/>
              </w:rPr>
              <w:t>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296,720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97.7 %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200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West Street </w:t>
            </w:r>
            <w:r>
              <w:rPr>
                <w:rFonts w:ascii="Arial" w:cs="Arial" w:eastAsia="Arial" w:hAnsi="Arial"/>
                <w:sz w:val="16"/>
                <w:szCs w:val="16"/>
                <w:color w:val="auto"/>
                <w:vertAlign w:val="superscript"/>
              </w:rPr>
              <w:t>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273,365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94.5 %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880</w:t>
            </w:r>
          </w:p>
        </w:tc>
        <w:tc>
          <w:tcPr>
            <w:tcW w:w="304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Winter Street </w:t>
            </w:r>
            <w:r>
              <w:rPr>
                <w:rFonts w:ascii="Arial" w:cs="Arial" w:eastAsia="Arial" w:hAnsi="Arial"/>
                <w:sz w:val="16"/>
                <w:szCs w:val="16"/>
                <w:color w:val="auto"/>
                <w:vertAlign w:val="superscript"/>
              </w:rPr>
              <w:t>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243,618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102.94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10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236,570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97.1 %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97.1 %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20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211,476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77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209,382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92.7 %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890</w:t>
            </w:r>
          </w:p>
        </w:tc>
        <w:tc>
          <w:tcPr>
            <w:tcW w:w="3040" w:type="dxa"/>
            <w:vAlign w:val="bottom"/>
          </w:tcPr>
          <w:p>
            <w:pPr>
              <w:ind w:left="20"/>
              <w:spacing w:after="0"/>
              <w:rPr>
                <w:sz w:val="20"/>
                <w:szCs w:val="20"/>
                <w:color w:val="auto"/>
              </w:rPr>
            </w:pPr>
            <w:r>
              <w:rPr>
                <w:rFonts w:ascii="Arial" w:cs="Arial" w:eastAsia="Arial" w:hAnsi="Arial"/>
                <w:sz w:val="13"/>
                <w:szCs w:val="13"/>
                <w:color w:val="auto"/>
              </w:rPr>
              <w:t>Winter Street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180,159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153</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&amp; 211 Second Avenue </w:t>
            </w:r>
            <w:r>
              <w:rPr>
                <w:rFonts w:ascii="Arial" w:cs="Arial" w:eastAsia="Arial" w:hAnsi="Arial"/>
                <w:sz w:val="16"/>
                <w:szCs w:val="16"/>
                <w:color w:val="auto"/>
                <w:vertAlign w:val="superscript"/>
              </w:rPr>
              <w:t>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137,545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18.5 %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1265 Main Street (50% ownership) </w:t>
            </w:r>
            <w:r>
              <w:rPr>
                <w:rFonts w:ascii="Arial" w:cs="Arial" w:eastAsia="Arial" w:hAnsi="Arial"/>
                <w:sz w:val="16"/>
                <w:szCs w:val="16"/>
                <w:color w:val="auto"/>
                <w:vertAlign w:val="superscript"/>
              </w:rPr>
              <w:t>4</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120,681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Reservoir Place North</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73,258</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The Point </w:t>
            </w:r>
            <w:r>
              <w:rPr>
                <w:rFonts w:ascii="Arial" w:cs="Arial" w:eastAsia="Arial" w:hAnsi="Arial"/>
                <w:sz w:val="16"/>
                <w:szCs w:val="16"/>
                <w:color w:val="auto"/>
                <w:vertAlign w:val="superscript"/>
              </w:rPr>
              <w:t>5</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33 Hayden Avenue </w:t>
            </w:r>
            <w:r>
              <w:rPr>
                <w:rFonts w:ascii="Arial" w:cs="Arial" w:eastAsia="Arial" w:hAnsi="Arial"/>
                <w:sz w:val="16"/>
                <w:szCs w:val="16"/>
                <w:color w:val="auto"/>
                <w:vertAlign w:val="superscript"/>
              </w:rPr>
              <w:t>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80,876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77.00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32 Hartwell Avenue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69,154</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Hayden Avenue </w:t>
            </w:r>
            <w:r>
              <w:rPr>
                <w:rFonts w:ascii="Arial" w:cs="Arial" w:eastAsia="Arial" w:hAnsi="Arial"/>
                <w:sz w:val="16"/>
                <w:szCs w:val="16"/>
                <w:color w:val="auto"/>
                <w:vertAlign w:val="superscript"/>
              </w:rPr>
              <w:t>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55,924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92 Hayden Avenue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31,100</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ind w:left="46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25</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4,714,992</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NEW YORK</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510</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234,160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69.4 %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43.05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206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161,763</w:t>
            </w: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210</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159,468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212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148,942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82.4 %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214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146,799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506</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139,050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82.1 %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508</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134,433</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202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134,068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71.9 %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76.2 %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804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101</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122,791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82.6 %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504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121,990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502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121,460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701</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40" w:top="265" w:right="339" w:bottom="1440" w:gutter="0" w:footer="0" w:header="0"/>
        </w:sectPr>
      </w:pPr>
    </w:p>
    <w:bookmarkStart w:id="32" w:name="page33"/>
    <w:bookmarkEnd w:id="3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 of September 30, 2024</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20"/>
                <w:szCs w:val="20"/>
                <w:color w:val="auto"/>
              </w:rPr>
            </w:pPr>
            <w:r>
              <w:rPr>
                <w:rFonts w:ascii="Arial" w:cs="Arial" w:eastAsia="Arial" w:hAnsi="Arial"/>
                <w:sz w:val="13"/>
                <w:szCs w:val="13"/>
                <w:color w:val="auto"/>
              </w:rPr>
              <w:t>104 Carnegie Center</w:t>
            </w:r>
          </w:p>
        </w:tc>
        <w:tc>
          <w:tcPr>
            <w:tcW w:w="18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Princeton NJ</w:t>
            </w:r>
          </w:p>
        </w:tc>
        <w:tc>
          <w:tcPr>
            <w:tcW w:w="14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102,930</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63.8 %</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64.8 %</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40.15</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3"/>
                <w:szCs w:val="13"/>
                <w:color w:val="auto"/>
              </w:rPr>
              <w:t>103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96,322</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37.32</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3"/>
                <w:szCs w:val="13"/>
                <w:color w:val="auto"/>
              </w:rPr>
              <w:t>302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64,926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35.96</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color w:val="auto"/>
              </w:rPr>
              <w:t>211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47,025</w:t>
            </w: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3"/>
                <w:szCs w:val="13"/>
                <w:color w:val="auto"/>
              </w:rPr>
              <w:t>201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71"/>
        </w:trPr>
        <w:tc>
          <w:tcPr>
            <w:tcW w:w="3280" w:type="dxa"/>
            <w:vAlign w:val="bottom"/>
          </w:tcPr>
          <w:p>
            <w:pPr>
              <w:ind w:left="340"/>
              <w:spacing w:after="0"/>
              <w:rPr>
                <w:sz w:val="20"/>
                <w:szCs w:val="20"/>
                <w:color w:val="auto"/>
              </w:rPr>
            </w:pPr>
            <w:r>
              <w:rPr>
                <w:rFonts w:ascii="Arial" w:cs="Arial" w:eastAsia="Arial" w:hAnsi="Arial"/>
                <w:sz w:val="13"/>
                <w:szCs w:val="13"/>
                <w:color w:val="auto"/>
              </w:rPr>
              <w:t>Subtotal</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2,192,627</w:t>
            </w:r>
          </w:p>
        </w:tc>
        <w:tc>
          <w:tcPr>
            <w:tcW w:w="1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67.3 %</w:t>
            </w: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72.9 %</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SAN FRANCISCO</w:t>
      </w:r>
    </w:p>
    <w:p>
      <w:pPr>
        <w:spacing w:after="0" w:line="44"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2920" w:type="dxa"/>
            <w:vAlign w:val="bottom"/>
          </w:tcPr>
          <w:p>
            <w:pPr>
              <w:spacing w:after="0"/>
              <w:rPr>
                <w:sz w:val="20"/>
                <w:szCs w:val="20"/>
                <w:color w:val="auto"/>
              </w:rPr>
            </w:pPr>
            <w:r>
              <w:rPr>
                <w:rFonts w:ascii="Arial" w:cs="Arial" w:eastAsia="Arial" w:hAnsi="Arial"/>
                <w:sz w:val="13"/>
                <w:szCs w:val="13"/>
                <w:color w:val="auto"/>
              </w:rPr>
              <w:t>Office</w:t>
            </w:r>
          </w:p>
        </w:tc>
        <w:tc>
          <w:tcPr>
            <w:tcW w:w="2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5"/>
        </w:trPr>
        <w:tc>
          <w:tcPr>
            <w:tcW w:w="2920" w:type="dxa"/>
            <w:vAlign w:val="bottom"/>
          </w:tcPr>
          <w:p>
            <w:pPr>
              <w:ind w:left="120"/>
              <w:spacing w:after="0"/>
              <w:rPr>
                <w:sz w:val="20"/>
                <w:szCs w:val="20"/>
                <w:color w:val="auto"/>
              </w:rPr>
            </w:pPr>
            <w:r>
              <w:rPr>
                <w:rFonts w:ascii="Arial" w:cs="Arial" w:eastAsia="Arial" w:hAnsi="Arial"/>
                <w:sz w:val="13"/>
                <w:szCs w:val="13"/>
                <w:color w:val="auto"/>
              </w:rPr>
              <w:t xml:space="preserve">Gateway Commons (50% ownership) </w:t>
            </w:r>
            <w:r>
              <w:rPr>
                <w:rFonts w:ascii="Arial" w:cs="Arial" w:eastAsia="Arial" w:hAnsi="Arial"/>
                <w:sz w:val="16"/>
                <w:szCs w:val="16"/>
                <w:color w:val="auto"/>
                <w:vertAlign w:val="superscript"/>
              </w:rPr>
              <w:t>4, 10</w:t>
            </w:r>
          </w:p>
        </w:tc>
        <w:tc>
          <w:tcPr>
            <w:tcW w:w="2460" w:type="dxa"/>
            <w:vAlign w:val="bottom"/>
          </w:tcPr>
          <w:p>
            <w:pPr>
              <w:ind w:left="480"/>
              <w:spacing w:after="0"/>
              <w:rPr>
                <w:sz w:val="20"/>
                <w:szCs w:val="20"/>
                <w:color w:val="auto"/>
              </w:rPr>
            </w:pPr>
            <w:r>
              <w:rPr>
                <w:rFonts w:ascii="Arial" w:cs="Arial" w:eastAsia="Arial" w:hAnsi="Arial"/>
                <w:sz w:val="13"/>
                <w:szCs w:val="13"/>
                <w:color w:val="auto"/>
              </w:rPr>
              <w:t>South San Francisco CA</w:t>
            </w:r>
          </w:p>
        </w:tc>
        <w:tc>
          <w:tcPr>
            <w:tcW w:w="760" w:type="dxa"/>
            <w:vAlign w:val="bottom"/>
          </w:tcPr>
          <w:p>
            <w:pPr>
              <w:jc w:val="center"/>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788,376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72.5 %</w:t>
            </w:r>
          </w:p>
        </w:tc>
        <w:tc>
          <w:tcPr>
            <w:tcW w:w="240" w:type="dxa"/>
            <w:vAlign w:val="bottom"/>
          </w:tcPr>
          <w:p>
            <w:pPr>
              <w:spacing w:after="0"/>
              <w:rPr>
                <w:sz w:val="16"/>
                <w:szCs w:val="16"/>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72.88</w:t>
            </w:r>
          </w:p>
        </w:tc>
      </w:tr>
      <w:tr>
        <w:trPr>
          <w:trHeight w:val="176"/>
        </w:trPr>
        <w:tc>
          <w:tcPr>
            <w:tcW w:w="292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751 Gateway (49% ownership) </w:t>
            </w:r>
            <w:r>
              <w:rPr>
                <w:rFonts w:ascii="Arial" w:cs="Arial" w:eastAsia="Arial" w:hAnsi="Arial"/>
                <w:sz w:val="16"/>
                <w:szCs w:val="16"/>
                <w:color w:val="auto"/>
                <w:vertAlign w:val="superscript"/>
              </w:rPr>
              <w:t>4, 7, 8</w:t>
            </w:r>
          </w:p>
        </w:tc>
        <w:tc>
          <w:tcPr>
            <w:tcW w:w="2460" w:type="dxa"/>
            <w:vAlign w:val="bottom"/>
          </w:tcPr>
          <w:p>
            <w:pPr>
              <w:ind w:left="480"/>
              <w:spacing w:after="0"/>
              <w:rPr>
                <w:sz w:val="20"/>
                <w:szCs w:val="20"/>
                <w:color w:val="auto"/>
              </w:rPr>
            </w:pPr>
            <w:r>
              <w:rPr>
                <w:rFonts w:ascii="Arial" w:cs="Arial" w:eastAsia="Arial" w:hAnsi="Arial"/>
                <w:sz w:val="13"/>
                <w:szCs w:val="13"/>
                <w:color w:val="auto"/>
              </w:rPr>
              <w:t>South San Francisco CA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230,592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93.51</w:t>
            </w:r>
          </w:p>
        </w:tc>
      </w:tr>
      <w:tr>
        <w:trPr>
          <w:trHeight w:val="166"/>
        </w:trPr>
        <w:tc>
          <w:tcPr>
            <w:tcW w:w="2920" w:type="dxa"/>
            <w:vAlign w:val="bottom"/>
          </w:tcPr>
          <w:p>
            <w:pPr>
              <w:ind w:left="120"/>
              <w:spacing w:after="0"/>
              <w:rPr>
                <w:sz w:val="20"/>
                <w:szCs w:val="20"/>
                <w:color w:val="auto"/>
              </w:rPr>
            </w:pPr>
            <w:r>
              <w:rPr>
                <w:rFonts w:ascii="Arial" w:cs="Arial" w:eastAsia="Arial" w:hAnsi="Arial"/>
                <w:sz w:val="13"/>
                <w:szCs w:val="13"/>
                <w:color w:val="auto"/>
              </w:rPr>
              <w:t>Mountain View Research Park</w:t>
            </w:r>
          </w:p>
        </w:tc>
        <w:tc>
          <w:tcPr>
            <w:tcW w:w="2460" w:type="dxa"/>
            <w:vAlign w:val="bottom"/>
          </w:tcPr>
          <w:p>
            <w:pPr>
              <w:ind w:left="480"/>
              <w:spacing w:after="0"/>
              <w:rPr>
                <w:sz w:val="20"/>
                <w:szCs w:val="20"/>
                <w:color w:val="auto"/>
              </w:rPr>
            </w:pPr>
            <w:r>
              <w:rPr>
                <w:rFonts w:ascii="Arial" w:cs="Arial" w:eastAsia="Arial" w:hAnsi="Arial"/>
                <w:sz w:val="13"/>
                <w:szCs w:val="13"/>
                <w:color w:val="auto"/>
              </w:rPr>
              <w:t>Mountain View CA</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542,264</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60.7 %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60.7 %</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73.37</w:t>
            </w:r>
          </w:p>
        </w:tc>
      </w:tr>
      <w:tr>
        <w:trPr>
          <w:trHeight w:val="175"/>
        </w:trPr>
        <w:tc>
          <w:tcPr>
            <w:tcW w:w="2920" w:type="dxa"/>
            <w:vAlign w:val="bottom"/>
          </w:tcPr>
          <w:p>
            <w:pPr>
              <w:ind w:left="120"/>
              <w:spacing w:after="0"/>
              <w:rPr>
                <w:sz w:val="20"/>
                <w:szCs w:val="20"/>
                <w:color w:val="auto"/>
              </w:rPr>
            </w:pPr>
            <w:r>
              <w:rPr>
                <w:rFonts w:ascii="Arial" w:cs="Arial" w:eastAsia="Arial" w:hAnsi="Arial"/>
                <w:sz w:val="13"/>
                <w:szCs w:val="13"/>
                <w:color w:val="auto"/>
              </w:rPr>
              <w:t>2440 West El Camino Real</w:t>
            </w:r>
          </w:p>
        </w:tc>
        <w:tc>
          <w:tcPr>
            <w:tcW w:w="2460" w:type="dxa"/>
            <w:vAlign w:val="bottom"/>
          </w:tcPr>
          <w:p>
            <w:pPr>
              <w:ind w:left="480"/>
              <w:spacing w:after="0"/>
              <w:rPr>
                <w:sz w:val="20"/>
                <w:szCs w:val="20"/>
                <w:color w:val="auto"/>
              </w:rPr>
            </w:pPr>
            <w:r>
              <w:rPr>
                <w:rFonts w:ascii="Arial" w:cs="Arial" w:eastAsia="Arial" w:hAnsi="Arial"/>
                <w:sz w:val="13"/>
                <w:szCs w:val="13"/>
                <w:color w:val="auto"/>
              </w:rPr>
              <w:t>Mountain View CA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142,711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71.5 %</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90.25</w:t>
            </w:r>
          </w:p>
        </w:tc>
      </w:tr>
      <w:tr>
        <w:trPr>
          <w:trHeight w:val="176"/>
        </w:trPr>
        <w:tc>
          <w:tcPr>
            <w:tcW w:w="2920" w:type="dxa"/>
            <w:vAlign w:val="bottom"/>
          </w:tcPr>
          <w:p>
            <w:pPr>
              <w:ind w:left="120"/>
              <w:spacing w:after="0"/>
              <w:rPr>
                <w:sz w:val="20"/>
                <w:szCs w:val="20"/>
                <w:color w:val="auto"/>
              </w:rPr>
            </w:pPr>
            <w:r>
              <w:rPr>
                <w:rFonts w:ascii="Arial" w:cs="Arial" w:eastAsia="Arial" w:hAnsi="Arial"/>
                <w:sz w:val="13"/>
                <w:szCs w:val="13"/>
                <w:color w:val="auto"/>
              </w:rPr>
              <w:t>453 Ravendale Drive</w:t>
            </w:r>
          </w:p>
        </w:tc>
        <w:tc>
          <w:tcPr>
            <w:tcW w:w="2460" w:type="dxa"/>
            <w:vAlign w:val="bottom"/>
          </w:tcPr>
          <w:p>
            <w:pPr>
              <w:ind w:left="480"/>
              <w:spacing w:after="0"/>
              <w:rPr>
                <w:sz w:val="20"/>
                <w:szCs w:val="20"/>
                <w:color w:val="auto"/>
              </w:rPr>
            </w:pPr>
            <w:r>
              <w:rPr>
                <w:rFonts w:ascii="Arial" w:cs="Arial" w:eastAsia="Arial" w:hAnsi="Arial"/>
                <w:sz w:val="13"/>
                <w:szCs w:val="13"/>
                <w:color w:val="auto"/>
              </w:rPr>
              <w:t>Mountain View CA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29,620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52.66</w:t>
            </w:r>
          </w:p>
        </w:tc>
      </w:tr>
      <w:tr>
        <w:trPr>
          <w:trHeight w:val="189"/>
        </w:trPr>
        <w:tc>
          <w:tcPr>
            <w:tcW w:w="2920" w:type="dxa"/>
            <w:vAlign w:val="bottom"/>
          </w:tcPr>
          <w:p>
            <w:pPr>
              <w:ind w:left="120"/>
              <w:spacing w:after="0"/>
              <w:rPr>
                <w:sz w:val="20"/>
                <w:szCs w:val="20"/>
                <w:color w:val="auto"/>
              </w:rPr>
            </w:pPr>
            <w:r>
              <w:rPr>
                <w:rFonts w:ascii="Arial" w:cs="Arial" w:eastAsia="Arial" w:hAnsi="Arial"/>
                <w:sz w:val="13"/>
                <w:szCs w:val="13"/>
                <w:color w:val="auto"/>
              </w:rPr>
              <w:t xml:space="preserve">North First Business Park </w:t>
            </w:r>
            <w:r>
              <w:rPr>
                <w:rFonts w:ascii="Arial" w:cs="Arial" w:eastAsia="Arial" w:hAnsi="Arial"/>
                <w:sz w:val="16"/>
                <w:szCs w:val="16"/>
                <w:color w:val="auto"/>
                <w:vertAlign w:val="superscript"/>
              </w:rPr>
              <w:t>12</w:t>
            </w:r>
          </w:p>
        </w:tc>
        <w:tc>
          <w:tcPr>
            <w:tcW w:w="2460" w:type="dxa"/>
            <w:vAlign w:val="bottom"/>
          </w:tcPr>
          <w:p>
            <w:pPr>
              <w:ind w:left="480"/>
              <w:spacing w:after="0"/>
              <w:rPr>
                <w:sz w:val="20"/>
                <w:szCs w:val="20"/>
                <w:color w:val="auto"/>
              </w:rPr>
            </w:pPr>
            <w:r>
              <w:rPr>
                <w:rFonts w:ascii="Arial" w:cs="Arial" w:eastAsia="Arial" w:hAnsi="Arial"/>
                <w:sz w:val="13"/>
                <w:szCs w:val="13"/>
                <w:color w:val="auto"/>
              </w:rPr>
              <w:t>San Jose CA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190,636</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58.6 %</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58.6 %</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26.45</w:t>
            </w:r>
          </w:p>
        </w:tc>
      </w:tr>
      <w:tr>
        <w:trPr>
          <w:trHeight w:val="164"/>
        </w:trPr>
        <w:tc>
          <w:tcPr>
            <w:tcW w:w="292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4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1,924,199</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71.4 %</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73.59</w:t>
            </w:r>
          </w:p>
        </w:tc>
      </w:tr>
    </w:tbl>
    <w:p>
      <w:pPr>
        <w:spacing w:after="0" w:line="22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WASHINGTON, DC</w:t>
      </w:r>
    </w:p>
    <w:p>
      <w:pPr>
        <w:spacing w:after="0" w:line="44"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3000" w:type="dxa"/>
            <w:vAlign w:val="bottom"/>
          </w:tcPr>
          <w:p>
            <w:pPr>
              <w:spacing w:after="0"/>
              <w:rPr>
                <w:sz w:val="20"/>
                <w:szCs w:val="20"/>
                <w:color w:val="auto"/>
              </w:rPr>
            </w:pPr>
            <w:r>
              <w:rPr>
                <w:rFonts w:ascii="Arial" w:cs="Arial" w:eastAsia="Arial" w:hAnsi="Arial"/>
                <w:sz w:val="13"/>
                <w:szCs w:val="13"/>
                <w:color w:val="auto"/>
              </w:rPr>
              <w:t>Office</w:t>
            </w:r>
          </w:p>
        </w:tc>
        <w:tc>
          <w:tcPr>
            <w:tcW w:w="2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20"/>
              <w:spacing w:after="0"/>
              <w:rPr>
                <w:sz w:val="20"/>
                <w:szCs w:val="20"/>
                <w:color w:val="auto"/>
              </w:rPr>
            </w:pPr>
            <w:r>
              <w:rPr>
                <w:rFonts w:ascii="Arial" w:cs="Arial" w:eastAsia="Arial" w:hAnsi="Arial"/>
                <w:sz w:val="13"/>
                <w:szCs w:val="13"/>
                <w:color w:val="auto"/>
              </w:rPr>
              <w:t>Kingstowne Two</w:t>
            </w:r>
          </w:p>
        </w:tc>
        <w:tc>
          <w:tcPr>
            <w:tcW w:w="2380" w:type="dxa"/>
            <w:vAlign w:val="bottom"/>
          </w:tcPr>
          <w:p>
            <w:pPr>
              <w:ind w:left="400"/>
              <w:spacing w:after="0"/>
              <w:rPr>
                <w:sz w:val="20"/>
                <w:szCs w:val="20"/>
                <w:color w:val="auto"/>
              </w:rPr>
            </w:pPr>
            <w:r>
              <w:rPr>
                <w:rFonts w:ascii="Arial" w:cs="Arial" w:eastAsia="Arial" w:hAnsi="Arial"/>
                <w:sz w:val="13"/>
                <w:szCs w:val="13"/>
                <w:color w:val="auto"/>
              </w:rPr>
              <w:t>Springfield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156,005</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72.7 %</w:t>
            </w:r>
          </w:p>
        </w:tc>
        <w:tc>
          <w:tcPr>
            <w:tcW w:w="68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20"/>
              <w:spacing w:after="0"/>
              <w:rPr>
                <w:sz w:val="20"/>
                <w:szCs w:val="20"/>
                <w:color w:val="auto"/>
              </w:rPr>
            </w:pPr>
            <w:r>
              <w:rPr>
                <w:rFonts w:ascii="Arial" w:cs="Arial" w:eastAsia="Arial" w:hAnsi="Arial"/>
                <w:sz w:val="13"/>
                <w:szCs w:val="13"/>
                <w:color w:val="auto"/>
              </w:rPr>
              <w:t xml:space="preserve">Kingstowne Retail </w:t>
            </w:r>
            <w:r>
              <w:rPr>
                <w:rFonts w:ascii="Arial" w:cs="Arial" w:eastAsia="Arial" w:hAnsi="Arial"/>
                <w:sz w:val="16"/>
                <w:szCs w:val="16"/>
                <w:color w:val="auto"/>
                <w:vertAlign w:val="superscript"/>
              </w:rPr>
              <w:t>5</w:t>
            </w:r>
          </w:p>
        </w:tc>
        <w:tc>
          <w:tcPr>
            <w:tcW w:w="2380" w:type="dxa"/>
            <w:vAlign w:val="bottom"/>
          </w:tcPr>
          <w:p>
            <w:pPr>
              <w:ind w:left="400"/>
              <w:spacing w:after="0"/>
              <w:rPr>
                <w:sz w:val="20"/>
                <w:szCs w:val="20"/>
                <w:color w:val="auto"/>
              </w:rPr>
            </w:pPr>
            <w:r>
              <w:rPr>
                <w:rFonts w:ascii="Arial" w:cs="Arial" w:eastAsia="Arial" w:hAnsi="Arial"/>
                <w:sz w:val="13"/>
                <w:szCs w:val="13"/>
                <w:color w:val="auto"/>
              </w:rPr>
              <w:t>Springfield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88,288</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3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244,293</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82.6 %</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2380" w:type="dxa"/>
            <w:vAlign w:val="bottom"/>
          </w:tcPr>
          <w:p>
            <w:pPr>
              <w:ind w:left="400"/>
              <w:spacing w:after="0"/>
              <w:rPr>
                <w:sz w:val="20"/>
                <w:szCs w:val="20"/>
                <w:color w:val="auto"/>
              </w:rPr>
            </w:pPr>
            <w:r>
              <w:rPr>
                <w:rFonts w:ascii="Arial" w:cs="Arial" w:eastAsia="Arial" w:hAnsi="Arial"/>
                <w:sz w:val="14"/>
                <w:szCs w:val="14"/>
                <w:b w:val="1"/>
                <w:bCs w:val="1"/>
                <w:i w:val="1"/>
                <w:iCs w:val="1"/>
                <w:color w:val="auto"/>
              </w:rPr>
              <w:t>Suburban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72</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9,076,111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73.6 %</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76.1 %</w:t>
            </w:r>
          </w:p>
        </w:tc>
        <w:tc>
          <w:tcPr>
            <w:tcW w:w="68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57.44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380" w:type="dxa"/>
            <w:vAlign w:val="bottom"/>
            <w:vMerge w:val="restart"/>
          </w:tcPr>
          <w:p>
            <w:pPr>
              <w:ind w:left="400"/>
              <w:spacing w:after="0"/>
              <w:rPr>
                <w:sz w:val="20"/>
                <w:szCs w:val="20"/>
                <w:color w:val="auto"/>
              </w:rPr>
            </w:pPr>
            <w:r>
              <w:rPr>
                <w:rFonts w:ascii="Arial" w:cs="Arial" w:eastAsia="Arial" w:hAnsi="Arial"/>
                <w:sz w:val="14"/>
                <w:szCs w:val="14"/>
                <w:b w:val="1"/>
                <w:bCs w:val="1"/>
                <w:i w:val="1"/>
                <w:iCs w:val="1"/>
                <w:color w:val="auto"/>
              </w:rPr>
              <w:t>BXP’s Share of Suburban</w:t>
            </w: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3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73.2 %</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75.8 %</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2"/>
              </w:rPr>
              <w:t>175</w:t>
            </w:r>
          </w:p>
        </w:tc>
        <w:tc>
          <w:tcPr>
            <w:tcW w:w="16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50,291,111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jc w:val="right"/>
              <w:ind w:right="64"/>
              <w:spacing w:after="0"/>
              <w:rPr>
                <w:sz w:val="20"/>
                <w:szCs w:val="20"/>
                <w:color w:val="auto"/>
              </w:rPr>
            </w:pPr>
            <w:r>
              <w:rPr>
                <w:rFonts w:ascii="Arial" w:cs="Arial" w:eastAsia="Arial" w:hAnsi="Arial"/>
                <w:sz w:val="9"/>
                <w:szCs w:val="9"/>
                <w:color w:val="auto"/>
                <w:w w:val="99"/>
              </w:rPr>
              <w:t>11</w:t>
            </w:r>
          </w:p>
        </w:tc>
        <w:tc>
          <w:tcPr>
            <w:tcW w:w="4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158"/>
        </w:trPr>
        <w:tc>
          <w:tcPr>
            <w:tcW w:w="3000" w:type="dxa"/>
            <w:vAlign w:val="bottom"/>
          </w:tcPr>
          <w:p>
            <w:pPr>
              <w:ind w:left="120"/>
              <w:spacing w:after="0"/>
              <w:rPr>
                <w:sz w:val="20"/>
                <w:szCs w:val="20"/>
                <w:color w:val="auto"/>
              </w:rPr>
            </w:pPr>
            <w:r>
              <w:rPr>
                <w:rFonts w:ascii="Arial" w:cs="Arial" w:eastAsia="Arial" w:hAnsi="Arial"/>
                <w:sz w:val="13"/>
                <w:szCs w:val="13"/>
                <w:color w:val="auto"/>
              </w:rPr>
              <w:t>Total In-Service Properties:</w:t>
            </w:r>
          </w:p>
        </w:tc>
        <w:tc>
          <w:tcPr>
            <w:tcW w:w="23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 xml:space="preserve">87.0 % </w:t>
            </w:r>
            <w:r>
              <w:rPr>
                <w:rFonts w:ascii="Arial" w:cs="Arial" w:eastAsia="Arial" w:hAnsi="Arial"/>
                <w:sz w:val="8"/>
                <w:szCs w:val="8"/>
                <w:color w:val="auto"/>
              </w:rPr>
              <w:t>11</w:t>
            </w:r>
          </w:p>
        </w:tc>
        <w:tc>
          <w:tcPr>
            <w:tcW w:w="920" w:type="dxa"/>
            <w:vAlign w:val="bottom"/>
          </w:tcPr>
          <w:p>
            <w:pPr>
              <w:jc w:val="right"/>
              <w:spacing w:after="0"/>
              <w:rPr>
                <w:sz w:val="20"/>
                <w:szCs w:val="20"/>
                <w:color w:val="auto"/>
              </w:rPr>
            </w:pPr>
            <w:r>
              <w:rPr>
                <w:rFonts w:ascii="Arial" w:cs="Arial" w:eastAsia="Arial" w:hAnsi="Arial"/>
                <w:sz w:val="13"/>
                <w:szCs w:val="13"/>
                <w:color w:val="auto"/>
              </w:rPr>
              <w:t>89.1 %</w:t>
            </w:r>
          </w:p>
        </w:tc>
        <w:tc>
          <w:tcPr>
            <w:tcW w:w="68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80.62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64"/>
              <w:spacing w:after="0"/>
              <w:rPr>
                <w:sz w:val="20"/>
                <w:szCs w:val="20"/>
                <w:color w:val="auto"/>
              </w:rPr>
            </w:pPr>
            <w:r>
              <w:rPr>
                <w:rFonts w:ascii="Arial" w:cs="Arial" w:eastAsia="Arial" w:hAnsi="Arial"/>
                <w:sz w:val="9"/>
                <w:szCs w:val="9"/>
                <w:color w:val="auto"/>
                <w:w w:val="99"/>
              </w:rPr>
              <w:t>11</w:t>
            </w: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3000" w:type="dxa"/>
            <w:vAlign w:val="bottom"/>
            <w:vMerge w:val="restart"/>
          </w:tcPr>
          <w:p>
            <w:pPr>
              <w:ind w:left="120"/>
              <w:spacing w:after="0"/>
              <w:rPr>
                <w:sz w:val="20"/>
                <w:szCs w:val="20"/>
                <w:color w:val="auto"/>
              </w:rPr>
            </w:pPr>
            <w:r>
              <w:rPr>
                <w:rFonts w:ascii="Arial" w:cs="Arial" w:eastAsia="Arial" w:hAnsi="Arial"/>
                <w:sz w:val="13"/>
                <w:szCs w:val="13"/>
                <w:color w:val="auto"/>
              </w:rPr>
              <w:t xml:space="preserve">BXP’s Share of Total In-Service Properties: </w:t>
            </w:r>
            <w:r>
              <w:rPr>
                <w:rFonts w:ascii="Arial" w:cs="Arial" w:eastAsia="Arial" w:hAnsi="Arial"/>
                <w:sz w:val="16"/>
                <w:szCs w:val="16"/>
                <w:color w:val="auto"/>
                <w:vertAlign w:val="superscript"/>
              </w:rPr>
              <w:t>3</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xml:space="preserve">86.9 % </w:t>
            </w:r>
            <w:r>
              <w:rPr>
                <w:rFonts w:ascii="Arial" w:cs="Arial" w:eastAsia="Arial" w:hAnsi="Arial"/>
                <w:sz w:val="8"/>
                <w:szCs w:val="8"/>
                <w:color w:val="auto"/>
              </w:rPr>
              <w:t>11</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89.0 %</w:t>
            </w:r>
          </w:p>
        </w:tc>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160" w:hanging="71"/>
        <w:spacing w:after="0"/>
        <w:tabs>
          <w:tab w:leader="none" w:pos="16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w:t>
      </w:r>
    </w:p>
    <w:p>
      <w:pPr>
        <w:spacing w:after="0" w:line="18" w:lineRule="exact"/>
        <w:rPr>
          <w:sz w:val="20"/>
          <w:szCs w:val="20"/>
          <w:color w:val="auto"/>
        </w:rPr>
      </w:pPr>
    </w:p>
    <w:p>
      <w:pPr>
        <w:ind w:left="180" w:right="240" w:hanging="91"/>
        <w:spacing w:after="0" w:line="227" w:lineRule="auto"/>
        <w:tabs>
          <w:tab w:leader="none" w:pos="178"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and signed leases for vacant space with future commencement dates. For additional detail, see pages 39-55.</w:t>
      </w:r>
    </w:p>
    <w:p>
      <w:pPr>
        <w:spacing w:after="0" w:line="14" w:lineRule="exact"/>
        <w:rPr>
          <w:sz w:val="20"/>
          <w:szCs w:val="20"/>
          <w:color w:val="auto"/>
        </w:rPr>
      </w:pPr>
    </w:p>
    <w:p>
      <w:pPr>
        <w:ind w:left="160" w:hanging="71"/>
        <w:spacing w:after="0"/>
        <w:tabs>
          <w:tab w:leader="none" w:pos="160" w:val="left"/>
        </w:tabs>
        <w:numPr>
          <w:ilvl w:val="0"/>
          <w:numId w:val="60"/>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57.</w:t>
      </w:r>
    </w:p>
    <w:p>
      <w:pPr>
        <w:spacing w:after="0" w:line="52"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This is an unconsolidated joint venture property.</w:t>
      </w:r>
    </w:p>
    <w:p>
      <w:pPr>
        <w:spacing w:after="0" w:line="11"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This is a retail property.</w:t>
      </w:r>
    </w:p>
    <w:p>
      <w:pPr>
        <w:spacing w:after="0" w:line="1" w:lineRule="exact"/>
        <w:rPr>
          <w:sz w:val="20"/>
          <w:szCs w:val="20"/>
          <w:color w:val="auto"/>
        </w:rPr>
      </w:pPr>
    </w:p>
    <w:p>
      <w:pPr>
        <w:ind w:left="180" w:right="100" w:hanging="91"/>
        <w:spacing w:after="0"/>
        <w:tabs>
          <w:tab w:leader="none" w:pos="178"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Prudential Center (retail shops) includes 760 Boylston Street, an approximately 118,000 net rentable square feet redevelopment that was completed and fully placed in-service during the second quarter of 2024. 140 Kendrick Street includes 140 Kendrick Street – Building A, an approximately 104,000 net rentable square feet redevelopment which was completed and fully placed in-service during the third quarter of 2023. 760 Boylston Street and 140 Kendrick Street – Building A are not included in the Same Property analysis.</w:t>
      </w:r>
    </w:p>
    <w:p>
      <w:pPr>
        <w:spacing w:after="0" w:line="169" w:lineRule="exact"/>
        <w:rPr>
          <w:sz w:val="20"/>
          <w:szCs w:val="20"/>
          <w:color w:val="auto"/>
        </w:rPr>
      </w:pPr>
    </w:p>
    <w:p>
      <w:pPr>
        <w:ind w:left="160" w:hanging="71"/>
        <w:spacing w:after="0"/>
        <w:tabs>
          <w:tab w:leader="none" w:pos="160" w:val="left"/>
        </w:tabs>
        <w:numPr>
          <w:ilvl w:val="0"/>
          <w:numId w:val="62"/>
        </w:numPr>
        <w:rPr>
          <w:rFonts w:ascii="Arial" w:cs="Arial" w:eastAsia="Arial" w:hAnsi="Arial"/>
          <w:sz w:val="9"/>
          <w:szCs w:val="9"/>
          <w:color w:val="auto"/>
        </w:rPr>
      </w:pPr>
      <w:r>
        <w:rPr>
          <w:rFonts w:ascii="Arial" w:cs="Arial" w:eastAsia="Arial" w:hAnsi="Arial"/>
          <w:sz w:val="14"/>
          <w:szCs w:val="14"/>
          <w:color w:val="auto"/>
        </w:rPr>
        <w:t>Classified as a laboratory/life sciences property.</w:t>
      </w:r>
    </w:p>
    <w:p>
      <w:pPr>
        <w:spacing w:after="0" w:line="52"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Not included in the Same Property analysis.</w:t>
      </w:r>
    </w:p>
    <w:p>
      <w:pPr>
        <w:spacing w:after="0" w:line="11" w:lineRule="exact"/>
        <w:rPr>
          <w:rFonts w:ascii="Arial" w:cs="Arial" w:eastAsia="Arial" w:hAnsi="Arial"/>
          <w:sz w:val="9"/>
          <w:szCs w:val="9"/>
          <w:color w:val="auto"/>
        </w:rPr>
      </w:pPr>
    </w:p>
    <w:p>
      <w:pPr>
        <w:ind w:left="180" w:right="200" w:hanging="81"/>
        <w:spacing w:after="0" w:line="268" w:lineRule="auto"/>
        <w:rPr>
          <w:rFonts w:ascii="Arial" w:cs="Arial" w:eastAsia="Arial" w:hAnsi="Arial"/>
          <w:sz w:val="9"/>
          <w:szCs w:val="9"/>
          <w:color w:val="auto"/>
        </w:rPr>
      </w:pPr>
      <w:r>
        <w:rPr>
          <w:rFonts w:ascii="Arial" w:cs="Arial" w:eastAsia="Arial" w:hAnsi="Arial"/>
          <w:sz w:val="9"/>
          <w:szCs w:val="9"/>
          <w:color w:val="auto"/>
        </w:rPr>
        <w:t xml:space="preserve">9 </w:t>
      </w:r>
      <w:r>
        <w:rPr>
          <w:rFonts w:ascii="Arial" w:cs="Arial" w:eastAsia="Arial" w:hAnsi="Arial"/>
          <w:sz w:val="14"/>
          <w:szCs w:val="14"/>
          <w:color w:val="auto"/>
        </w:rPr>
        <w:t>During the first quarter of 2024, the Company reassessed the classifications of its assets as either CBD or Suburban and determined that certain assets such as those in</w:t>
      </w:r>
      <w:r>
        <w:rPr>
          <w:rFonts w:ascii="Arial" w:cs="Arial" w:eastAsia="Arial" w:hAnsi="Arial"/>
          <w:sz w:val="9"/>
          <w:szCs w:val="9"/>
          <w:color w:val="auto"/>
        </w:rPr>
        <w:t xml:space="preserve"> </w:t>
      </w:r>
      <w:r>
        <w:rPr>
          <w:rFonts w:ascii="Arial" w:cs="Arial" w:eastAsia="Arial" w:hAnsi="Arial"/>
          <w:sz w:val="14"/>
          <w:szCs w:val="14"/>
          <w:color w:val="auto"/>
        </w:rPr>
        <w:t>Reston, Virginia are located in areas with characteristics that more closely align with our definition of CBD due to their diverse live, work, and play environment. As a result, these assets are classified as CBD.</w:t>
      </w:r>
    </w:p>
    <w:p>
      <w:pPr>
        <w:ind w:left="80"/>
        <w:spacing w:after="0"/>
        <w:rPr>
          <w:rFonts w:ascii="Arial" w:cs="Arial" w:eastAsia="Arial" w:hAnsi="Arial"/>
          <w:sz w:val="9"/>
          <w:szCs w:val="9"/>
          <w:color w:val="auto"/>
        </w:rPr>
      </w:pPr>
      <w:r>
        <w:rPr>
          <w:rFonts w:ascii="Arial" w:cs="Arial" w:eastAsia="Arial" w:hAnsi="Arial"/>
          <w:sz w:val="9"/>
          <w:szCs w:val="9"/>
          <w:color w:val="auto"/>
        </w:rPr>
        <w:t xml:space="preserve">10 </w:t>
      </w:r>
      <w:r>
        <w:rPr>
          <w:rFonts w:ascii="Arial" w:cs="Arial" w:eastAsia="Arial" w:hAnsi="Arial"/>
          <w:sz w:val="14"/>
          <w:szCs w:val="14"/>
          <w:color w:val="auto"/>
        </w:rPr>
        <w:t>Includes 681 Gateway which is a laboratory/life sciences property.</w:t>
      </w:r>
    </w:p>
    <w:p>
      <w:pPr>
        <w:spacing w:after="0" w:line="52" w:lineRule="exact"/>
        <w:rPr>
          <w:rFonts w:ascii="Arial" w:cs="Arial" w:eastAsia="Arial" w:hAnsi="Arial"/>
          <w:sz w:val="9"/>
          <w:szCs w:val="9"/>
          <w:color w:val="auto"/>
        </w:rPr>
      </w:pPr>
    </w:p>
    <w:p>
      <w:pPr>
        <w:ind w:left="80" w:right="5900"/>
        <w:spacing w:after="0" w:line="280" w:lineRule="auto"/>
        <w:rPr>
          <w:rFonts w:ascii="Arial" w:cs="Arial" w:eastAsia="Arial" w:hAnsi="Arial"/>
          <w:sz w:val="9"/>
          <w:szCs w:val="9"/>
          <w:color w:val="auto"/>
        </w:rPr>
      </w:pPr>
      <w:r>
        <w:rPr>
          <w:rFonts w:ascii="Arial" w:cs="Arial" w:eastAsia="Arial" w:hAnsi="Arial"/>
          <w:sz w:val="18"/>
          <w:szCs w:val="18"/>
          <w:color w:val="auto"/>
          <w:vertAlign w:val="superscript"/>
        </w:rPr>
        <w:t>11</w:t>
      </w:r>
      <w:r>
        <w:rPr>
          <w:rFonts w:ascii="Arial" w:cs="Arial" w:eastAsia="Arial" w:hAnsi="Arial"/>
          <w:sz w:val="14"/>
          <w:szCs w:val="14"/>
          <w:color w:val="auto"/>
        </w:rPr>
        <w:t xml:space="preserve"> Excludes hotel and residential properties. For additional detail, see pages 20-21. </w:t>
      </w:r>
      <w:r>
        <w:rPr>
          <w:rFonts w:ascii="Arial" w:cs="Arial" w:eastAsia="Arial" w:hAnsi="Arial"/>
          <w:sz w:val="9"/>
          <w:szCs w:val="9"/>
          <w:color w:val="auto"/>
        </w:rPr>
        <w:t xml:space="preserve">12 </w:t>
      </w:r>
      <w:r>
        <w:rPr>
          <w:rFonts w:ascii="Arial" w:cs="Arial" w:eastAsia="Arial" w:hAnsi="Arial"/>
          <w:sz w:val="14"/>
          <w:szCs w:val="14"/>
          <w:color w:val="auto"/>
        </w:rPr>
        <w:t>Property held for redevelopment.</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265"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Q3 2024</w:t>
            </w:r>
          </w:p>
        </w:tc>
      </w:tr>
      <w:tr>
        <w:trPr>
          <w:trHeight w:val="245"/>
        </w:trPr>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00497F"/>
              </w:rPr>
              <w:t>Top 20 clients listing and portfolio client diversification</w:t>
            </w:r>
          </w:p>
        </w:tc>
      </w:tr>
      <w:tr>
        <w:trPr>
          <w:trHeight w:val="599"/>
        </w:trPr>
        <w:tc>
          <w:tcPr>
            <w:tcW w:w="4580" w:type="dxa"/>
            <w:vAlign w:val="bottom"/>
            <w:gridSpan w:val="4"/>
          </w:tcPr>
          <w:p>
            <w:pPr>
              <w:spacing w:after="0"/>
              <w:rPr>
                <w:sz w:val="20"/>
                <w:szCs w:val="20"/>
                <w:color w:val="auto"/>
              </w:rPr>
            </w:pPr>
            <w:r>
              <w:rPr>
                <w:rFonts w:ascii="Arial" w:cs="Arial" w:eastAsia="Arial" w:hAnsi="Arial"/>
                <w:sz w:val="14"/>
                <w:szCs w:val="14"/>
                <w:color w:val="auto"/>
              </w:rPr>
              <w:t>as of September 30, 2024</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8"/>
        </w:trPr>
        <w:tc>
          <w:tcPr>
            <w:tcW w:w="45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TOP 20 CLIENTS</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3"/>
        </w:trPr>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gridSpan w:val="2"/>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560" w:type="dxa"/>
            <w:vAlign w:val="bottom"/>
          </w:tcPr>
          <w:p>
            <w:pPr>
              <w:spacing w:after="0"/>
              <w:rPr>
                <w:sz w:val="5"/>
                <w:szCs w:val="5"/>
                <w:color w:val="auto"/>
              </w:rPr>
            </w:pPr>
          </w:p>
        </w:tc>
      </w:tr>
      <w:tr>
        <w:trPr>
          <w:trHeight w:val="193"/>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BXP’s Share of Annualized Rental</w:t>
            </w:r>
          </w:p>
        </w:tc>
        <w:tc>
          <w:tcPr>
            <w:tcW w:w="396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Weighted Average Remaining</w:t>
            </w:r>
          </w:p>
        </w:tc>
      </w:tr>
      <w:tr>
        <w:trPr>
          <w:trHeight w:val="211"/>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8"/>
                <w:szCs w:val="18"/>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Client</w:t>
            </w:r>
          </w:p>
        </w:tc>
        <w:tc>
          <w:tcPr>
            <w:tcW w:w="240" w:type="dxa"/>
            <w:vAlign w:val="bottom"/>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9"/>
                <w:szCs w:val="9"/>
                <w:b w:val="1"/>
                <w:bCs w:val="1"/>
                <w:color w:val="auto"/>
              </w:rPr>
              <w:t>1</w:t>
            </w:r>
          </w:p>
        </w:tc>
        <w:tc>
          <w:tcPr>
            <w:tcW w:w="240" w:type="dxa"/>
            <w:vAlign w:val="bottom"/>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Lease Term (years) </w:t>
            </w:r>
            <w:r>
              <w:rPr>
                <w:rFonts w:ascii="Arial" w:cs="Arial" w:eastAsia="Arial" w:hAnsi="Arial"/>
                <w:sz w:val="9"/>
                <w:szCs w:val="9"/>
                <w:b w:val="1"/>
                <w:bCs w:val="1"/>
                <w:color w:val="auto"/>
              </w:rPr>
              <w:t>2</w:t>
            </w:r>
          </w:p>
        </w:tc>
        <w:tc>
          <w:tcPr>
            <w:tcW w:w="1560" w:type="dxa"/>
            <w:vAlign w:val="bottom"/>
          </w:tcPr>
          <w:p>
            <w:pPr>
              <w:spacing w:after="0"/>
              <w:rPr>
                <w:sz w:val="18"/>
                <w:szCs w:val="18"/>
                <w:color w:val="auto"/>
              </w:rPr>
            </w:pPr>
          </w:p>
        </w:tc>
      </w:tr>
      <w:tr>
        <w:trPr>
          <w:trHeight w:val="189"/>
        </w:trPr>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Salesforce</w:t>
            </w:r>
          </w:p>
        </w:tc>
        <w:tc>
          <w:tcPr>
            <w:tcW w:w="2460" w:type="dxa"/>
            <w:vAlign w:val="bottom"/>
          </w:tcPr>
          <w:p>
            <w:pPr>
              <w:jc w:val="right"/>
              <w:spacing w:after="0"/>
              <w:rPr>
                <w:sz w:val="20"/>
                <w:szCs w:val="20"/>
                <w:color w:val="auto"/>
              </w:rPr>
            </w:pPr>
            <w:r>
              <w:rPr>
                <w:rFonts w:ascii="Arial" w:cs="Arial" w:eastAsia="Arial" w:hAnsi="Arial"/>
                <w:sz w:val="14"/>
                <w:szCs w:val="14"/>
                <w:color w:val="auto"/>
              </w:rPr>
              <w:t>3.35 %</w:t>
            </w:r>
          </w:p>
        </w:tc>
        <w:tc>
          <w:tcPr>
            <w:tcW w:w="2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7.5</w:t>
            </w:r>
          </w:p>
        </w:tc>
        <w:tc>
          <w:tcPr>
            <w:tcW w:w="1560" w:type="dxa"/>
            <w:vAlign w:val="bottom"/>
          </w:tcPr>
          <w:p>
            <w:pPr>
              <w:spacing w:after="0"/>
              <w:rPr>
                <w:sz w:val="16"/>
                <w:szCs w:val="16"/>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Google</w:t>
            </w:r>
          </w:p>
        </w:tc>
        <w:tc>
          <w:tcPr>
            <w:tcW w:w="2460" w:type="dxa"/>
            <w:vAlign w:val="bottom"/>
          </w:tcPr>
          <w:p>
            <w:pPr>
              <w:jc w:val="right"/>
              <w:spacing w:after="0"/>
              <w:rPr>
                <w:sz w:val="20"/>
                <w:szCs w:val="20"/>
                <w:color w:val="auto"/>
              </w:rPr>
            </w:pPr>
            <w:r>
              <w:rPr>
                <w:rFonts w:ascii="Arial" w:cs="Arial" w:eastAsia="Arial" w:hAnsi="Arial"/>
                <w:sz w:val="14"/>
                <w:szCs w:val="14"/>
                <w:color w:val="auto"/>
              </w:rPr>
              <w:t>2.89 %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12.6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Biogen</w:t>
            </w:r>
          </w:p>
        </w:tc>
        <w:tc>
          <w:tcPr>
            <w:tcW w:w="2460" w:type="dxa"/>
            <w:vAlign w:val="bottom"/>
          </w:tcPr>
          <w:p>
            <w:pPr>
              <w:jc w:val="right"/>
              <w:spacing w:after="0"/>
              <w:rPr>
                <w:sz w:val="20"/>
                <w:szCs w:val="20"/>
                <w:color w:val="auto"/>
              </w:rPr>
            </w:pPr>
            <w:r>
              <w:rPr>
                <w:rFonts w:ascii="Arial" w:cs="Arial" w:eastAsia="Arial" w:hAnsi="Arial"/>
                <w:sz w:val="14"/>
                <w:szCs w:val="14"/>
                <w:color w:val="auto"/>
              </w:rPr>
              <w:t>2.49 %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3.0</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Akamai Technologies</w:t>
            </w:r>
          </w:p>
        </w:tc>
        <w:tc>
          <w:tcPr>
            <w:tcW w:w="2460" w:type="dxa"/>
            <w:vAlign w:val="bottom"/>
          </w:tcPr>
          <w:p>
            <w:pPr>
              <w:jc w:val="right"/>
              <w:spacing w:after="0"/>
              <w:rPr>
                <w:sz w:val="20"/>
                <w:szCs w:val="20"/>
                <w:color w:val="auto"/>
              </w:rPr>
            </w:pPr>
            <w:r>
              <w:rPr>
                <w:rFonts w:ascii="Arial" w:cs="Arial" w:eastAsia="Arial" w:hAnsi="Arial"/>
                <w:sz w:val="14"/>
                <w:szCs w:val="14"/>
                <w:color w:val="auto"/>
              </w:rPr>
              <w:t>2.15 %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10.1</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Kirkland &amp; Ellis</w:t>
            </w:r>
          </w:p>
        </w:tc>
        <w:tc>
          <w:tcPr>
            <w:tcW w:w="2460" w:type="dxa"/>
            <w:vAlign w:val="bottom"/>
          </w:tcPr>
          <w:p>
            <w:pPr>
              <w:jc w:val="right"/>
              <w:spacing w:after="0"/>
              <w:rPr>
                <w:sz w:val="20"/>
                <w:szCs w:val="20"/>
                <w:color w:val="auto"/>
              </w:rPr>
            </w:pPr>
            <w:r>
              <w:rPr>
                <w:rFonts w:ascii="Arial" w:cs="Arial" w:eastAsia="Arial" w:hAnsi="Arial"/>
                <w:sz w:val="14"/>
                <w:szCs w:val="14"/>
                <w:color w:val="auto"/>
              </w:rPr>
              <w:t>1.74 %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12.9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Snap</w:t>
            </w:r>
          </w:p>
        </w:tc>
        <w:tc>
          <w:tcPr>
            <w:tcW w:w="2460" w:type="dxa"/>
            <w:vAlign w:val="bottom"/>
          </w:tcPr>
          <w:p>
            <w:pPr>
              <w:jc w:val="right"/>
              <w:spacing w:after="0"/>
              <w:rPr>
                <w:sz w:val="20"/>
                <w:szCs w:val="20"/>
                <w:color w:val="auto"/>
              </w:rPr>
            </w:pPr>
            <w:r>
              <w:rPr>
                <w:rFonts w:ascii="Arial" w:cs="Arial" w:eastAsia="Arial" w:hAnsi="Arial"/>
                <w:sz w:val="14"/>
                <w:szCs w:val="14"/>
                <w:color w:val="auto"/>
              </w:rPr>
              <w:t>1.63 %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Fannie Mae</w:t>
            </w:r>
          </w:p>
        </w:tc>
        <w:tc>
          <w:tcPr>
            <w:tcW w:w="2460" w:type="dxa"/>
            <w:vAlign w:val="bottom"/>
          </w:tcPr>
          <w:p>
            <w:pPr>
              <w:jc w:val="right"/>
              <w:spacing w:after="0"/>
              <w:rPr>
                <w:sz w:val="20"/>
                <w:szCs w:val="20"/>
                <w:color w:val="auto"/>
              </w:rPr>
            </w:pPr>
            <w:r>
              <w:rPr>
                <w:rFonts w:ascii="Arial" w:cs="Arial" w:eastAsia="Arial" w:hAnsi="Arial"/>
                <w:sz w:val="14"/>
                <w:szCs w:val="14"/>
                <w:color w:val="auto"/>
              </w:rPr>
              <w:t>1.53 %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12.9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Ropes &amp; Gray</w:t>
            </w:r>
          </w:p>
        </w:tc>
        <w:tc>
          <w:tcPr>
            <w:tcW w:w="2460" w:type="dxa"/>
            <w:vAlign w:val="bottom"/>
          </w:tcPr>
          <w:p>
            <w:pPr>
              <w:jc w:val="right"/>
              <w:spacing w:after="0"/>
              <w:rPr>
                <w:sz w:val="20"/>
                <w:szCs w:val="20"/>
                <w:color w:val="auto"/>
              </w:rPr>
            </w:pPr>
            <w:r>
              <w:rPr>
                <w:rFonts w:ascii="Arial" w:cs="Arial" w:eastAsia="Arial" w:hAnsi="Arial"/>
                <w:sz w:val="14"/>
                <w:szCs w:val="14"/>
                <w:color w:val="auto"/>
              </w:rPr>
              <w:t>1.39 %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Millennium Management</w:t>
            </w:r>
          </w:p>
        </w:tc>
        <w:tc>
          <w:tcPr>
            <w:tcW w:w="2460" w:type="dxa"/>
            <w:vAlign w:val="bottom"/>
          </w:tcPr>
          <w:p>
            <w:pPr>
              <w:jc w:val="right"/>
              <w:spacing w:after="0"/>
              <w:rPr>
                <w:sz w:val="20"/>
                <w:szCs w:val="20"/>
                <w:color w:val="auto"/>
              </w:rPr>
            </w:pPr>
            <w:r>
              <w:rPr>
                <w:rFonts w:ascii="Arial" w:cs="Arial" w:eastAsia="Arial" w:hAnsi="Arial"/>
                <w:sz w:val="14"/>
                <w:szCs w:val="14"/>
                <w:color w:val="auto"/>
              </w:rPr>
              <w:t>1.22 %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6.3</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Wellington Management</w:t>
            </w:r>
          </w:p>
        </w:tc>
        <w:tc>
          <w:tcPr>
            <w:tcW w:w="2460" w:type="dxa"/>
            <w:vAlign w:val="bottom"/>
          </w:tcPr>
          <w:p>
            <w:pPr>
              <w:jc w:val="right"/>
              <w:spacing w:after="0"/>
              <w:rPr>
                <w:sz w:val="20"/>
                <w:szCs w:val="20"/>
                <w:color w:val="auto"/>
              </w:rPr>
            </w:pPr>
            <w:r>
              <w:rPr>
                <w:rFonts w:ascii="Arial" w:cs="Arial" w:eastAsia="Arial" w:hAnsi="Arial"/>
                <w:sz w:val="14"/>
                <w:szCs w:val="14"/>
                <w:color w:val="auto"/>
              </w:rPr>
              <w:t>1.20 %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11.5</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Weil Gotshal &amp; Manges</w:t>
            </w:r>
          </w:p>
        </w:tc>
        <w:tc>
          <w:tcPr>
            <w:tcW w:w="2460" w:type="dxa"/>
            <w:vAlign w:val="bottom"/>
          </w:tcPr>
          <w:p>
            <w:pPr>
              <w:jc w:val="right"/>
              <w:spacing w:after="0"/>
              <w:rPr>
                <w:sz w:val="20"/>
                <w:szCs w:val="20"/>
                <w:color w:val="auto"/>
              </w:rPr>
            </w:pPr>
            <w:r>
              <w:rPr>
                <w:rFonts w:ascii="Arial" w:cs="Arial" w:eastAsia="Arial" w:hAnsi="Arial"/>
                <w:sz w:val="14"/>
                <w:szCs w:val="14"/>
                <w:color w:val="auto"/>
              </w:rPr>
              <w:t>1.18 %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Microsoft</w:t>
            </w:r>
          </w:p>
        </w:tc>
        <w:tc>
          <w:tcPr>
            <w:tcW w:w="2460" w:type="dxa"/>
            <w:vAlign w:val="bottom"/>
          </w:tcPr>
          <w:p>
            <w:pPr>
              <w:jc w:val="right"/>
              <w:spacing w:after="0"/>
              <w:rPr>
                <w:sz w:val="20"/>
                <w:szCs w:val="20"/>
                <w:color w:val="auto"/>
              </w:rPr>
            </w:pPr>
            <w:r>
              <w:rPr>
                <w:rFonts w:ascii="Arial" w:cs="Arial" w:eastAsia="Arial" w:hAnsi="Arial"/>
                <w:sz w:val="14"/>
                <w:szCs w:val="14"/>
                <w:color w:val="auto"/>
              </w:rPr>
              <w:t>1.12 %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Allen Overy Shearman Sterling</w:t>
            </w:r>
          </w:p>
        </w:tc>
        <w:tc>
          <w:tcPr>
            <w:tcW w:w="2460" w:type="dxa"/>
            <w:vAlign w:val="bottom"/>
          </w:tcPr>
          <w:p>
            <w:pPr>
              <w:jc w:val="right"/>
              <w:spacing w:after="0"/>
              <w:rPr>
                <w:sz w:val="20"/>
                <w:szCs w:val="20"/>
                <w:color w:val="auto"/>
              </w:rPr>
            </w:pPr>
            <w:r>
              <w:rPr>
                <w:rFonts w:ascii="Arial" w:cs="Arial" w:eastAsia="Arial" w:hAnsi="Arial"/>
                <w:sz w:val="14"/>
                <w:szCs w:val="14"/>
                <w:color w:val="auto"/>
              </w:rPr>
              <w:t>1.04 %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16.9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Arnold &amp; Porter Kaye Scholer</w:t>
            </w:r>
          </w:p>
        </w:tc>
        <w:tc>
          <w:tcPr>
            <w:tcW w:w="2460" w:type="dxa"/>
            <w:vAlign w:val="bottom"/>
          </w:tcPr>
          <w:p>
            <w:pPr>
              <w:jc w:val="right"/>
              <w:spacing w:after="0"/>
              <w:rPr>
                <w:sz w:val="20"/>
                <w:szCs w:val="20"/>
                <w:color w:val="auto"/>
              </w:rPr>
            </w:pPr>
            <w:r>
              <w:rPr>
                <w:rFonts w:ascii="Arial" w:cs="Arial" w:eastAsia="Arial" w:hAnsi="Arial"/>
                <w:sz w:val="14"/>
                <w:szCs w:val="14"/>
                <w:color w:val="auto"/>
              </w:rPr>
              <w:t>1.03 %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7.8</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Bain Capital</w:t>
            </w:r>
          </w:p>
        </w:tc>
        <w:tc>
          <w:tcPr>
            <w:tcW w:w="2460" w:type="dxa"/>
            <w:vAlign w:val="bottom"/>
          </w:tcPr>
          <w:p>
            <w:pPr>
              <w:jc w:val="right"/>
              <w:spacing w:after="0"/>
              <w:rPr>
                <w:sz w:val="20"/>
                <w:szCs w:val="20"/>
                <w:color w:val="auto"/>
              </w:rPr>
            </w:pPr>
            <w:r>
              <w:rPr>
                <w:rFonts w:ascii="Arial" w:cs="Arial" w:eastAsia="Arial" w:hAnsi="Arial"/>
                <w:sz w:val="14"/>
                <w:szCs w:val="14"/>
                <w:color w:val="auto"/>
              </w:rPr>
              <w:t>0.92 %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7.3</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Morrison &amp; Foerster</w:t>
            </w:r>
          </w:p>
        </w:tc>
        <w:tc>
          <w:tcPr>
            <w:tcW w:w="2460" w:type="dxa"/>
            <w:vAlign w:val="bottom"/>
          </w:tcPr>
          <w:p>
            <w:pPr>
              <w:jc w:val="right"/>
              <w:spacing w:after="0"/>
              <w:rPr>
                <w:sz w:val="20"/>
                <w:szCs w:val="20"/>
                <w:color w:val="auto"/>
              </w:rPr>
            </w:pPr>
            <w:r>
              <w:rPr>
                <w:rFonts w:ascii="Arial" w:cs="Arial" w:eastAsia="Arial" w:hAnsi="Arial"/>
                <w:sz w:val="14"/>
                <w:szCs w:val="14"/>
                <w:color w:val="auto"/>
              </w:rPr>
              <w:t>0.86 %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6.0</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Bank of America</w:t>
            </w:r>
          </w:p>
        </w:tc>
        <w:tc>
          <w:tcPr>
            <w:tcW w:w="2460" w:type="dxa"/>
            <w:vAlign w:val="bottom"/>
          </w:tcPr>
          <w:p>
            <w:pPr>
              <w:jc w:val="right"/>
              <w:spacing w:after="0"/>
              <w:rPr>
                <w:sz w:val="20"/>
                <w:szCs w:val="20"/>
                <w:color w:val="auto"/>
              </w:rPr>
            </w:pPr>
            <w:r>
              <w:rPr>
                <w:rFonts w:ascii="Arial" w:cs="Arial" w:eastAsia="Arial" w:hAnsi="Arial"/>
                <w:sz w:val="14"/>
                <w:szCs w:val="14"/>
                <w:color w:val="auto"/>
              </w:rPr>
              <w:t>0.85 %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11.4</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Leidos</w:t>
            </w:r>
          </w:p>
        </w:tc>
        <w:tc>
          <w:tcPr>
            <w:tcW w:w="2460" w:type="dxa"/>
            <w:vAlign w:val="bottom"/>
          </w:tcPr>
          <w:p>
            <w:pPr>
              <w:jc w:val="right"/>
              <w:spacing w:after="0"/>
              <w:rPr>
                <w:sz w:val="20"/>
                <w:szCs w:val="20"/>
                <w:color w:val="auto"/>
              </w:rPr>
            </w:pPr>
            <w:r>
              <w:rPr>
                <w:rFonts w:ascii="Arial" w:cs="Arial" w:eastAsia="Arial" w:hAnsi="Arial"/>
                <w:sz w:val="14"/>
                <w:szCs w:val="14"/>
                <w:color w:val="auto"/>
              </w:rPr>
              <w:t>0.84 %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Wilmer Cutler Pickering Hale</w:t>
            </w:r>
          </w:p>
        </w:tc>
        <w:tc>
          <w:tcPr>
            <w:tcW w:w="2460" w:type="dxa"/>
            <w:vAlign w:val="bottom"/>
          </w:tcPr>
          <w:p>
            <w:pPr>
              <w:jc w:val="right"/>
              <w:spacing w:after="0"/>
              <w:rPr>
                <w:sz w:val="20"/>
                <w:szCs w:val="20"/>
                <w:color w:val="auto"/>
              </w:rPr>
            </w:pPr>
            <w:r>
              <w:rPr>
                <w:rFonts w:ascii="Arial" w:cs="Arial" w:eastAsia="Arial" w:hAnsi="Arial"/>
                <w:sz w:val="14"/>
                <w:szCs w:val="14"/>
                <w:color w:val="auto"/>
              </w:rPr>
              <w:t>0.84 %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14.2</w:t>
            </w:r>
          </w:p>
        </w:tc>
        <w:tc>
          <w:tcPr>
            <w:tcW w:w="1560" w:type="dxa"/>
            <w:vAlign w:val="bottom"/>
          </w:tcPr>
          <w:p>
            <w:pPr>
              <w:spacing w:after="0"/>
              <w:rPr>
                <w:sz w:val="17"/>
                <w:szCs w:val="17"/>
                <w:color w:val="auto"/>
              </w:rPr>
            </w:pPr>
          </w:p>
        </w:tc>
      </w:tr>
      <w:tr>
        <w:trPr>
          <w:trHeight w:val="207"/>
        </w:trPr>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Aramis (Estee Lauder)</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0.82 %</w:t>
            </w: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5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BXP’s Share of Annualized Rental Obligations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29.07 %</w:t>
            </w: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 xml:space="preserve">BXP’s Share of Square Feet </w:t>
            </w:r>
            <w:r>
              <w:rPr>
                <w:rFonts w:ascii="Arial" w:cs="Arial" w:eastAsia="Arial" w:hAnsi="Arial"/>
                <w:sz w:val="9"/>
                <w:szCs w:val="9"/>
                <w:color w:val="auto"/>
              </w:rPr>
              <w:t>1</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22.74 %</w:t>
            </w: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Weighted Average Remaining Lease Term (years)</w:t>
            </w:r>
          </w:p>
        </w:tc>
        <w:tc>
          <w:tcPr>
            <w:tcW w:w="2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-4191000</wp:posOffset>
            </wp:positionV>
            <wp:extent cx="25717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NOTABLE SIGNED DEALS </w:t>
      </w:r>
      <w:r>
        <w:rPr>
          <w:rFonts w:ascii="Arial" w:cs="Arial" w:eastAsia="Arial" w:hAnsi="Arial"/>
          <w:sz w:val="9"/>
          <w:szCs w:val="9"/>
          <w:b w:val="1"/>
          <w:bCs w:val="1"/>
          <w:i w:val="1"/>
          <w:iCs w:val="1"/>
          <w:color w:val="auto"/>
        </w:rPr>
        <w:t>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Client</w:t>
            </w:r>
          </w:p>
        </w:tc>
        <w:tc>
          <w:tcPr>
            <w:tcW w:w="240" w:type="dxa"/>
            <w:vAlign w:val="bottom"/>
            <w:tcBorders>
              <w:top w:val="single" w:sz="8" w:color="auto"/>
            </w:tcBorders>
          </w:tcPr>
          <w:p>
            <w:pPr>
              <w:spacing w:after="0"/>
              <w:rPr>
                <w:sz w:val="19"/>
                <w:szCs w:val="19"/>
                <w:color w:val="auto"/>
              </w:rPr>
            </w:pPr>
          </w:p>
        </w:tc>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Property</w:t>
            </w:r>
          </w:p>
        </w:tc>
        <w:tc>
          <w:tcPr>
            <w:tcW w:w="22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Square Feet</w:t>
            </w: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AstraZeneca</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290 Binney Street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573,000</w:t>
            </w:r>
          </w:p>
        </w:tc>
      </w:tr>
      <w:tr>
        <w:trPr>
          <w:trHeight w:val="20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The Broad Institute</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300 Binney Street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225,000</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CLIENT DIVERSIFICATION </w:t>
      </w:r>
      <w:r>
        <w:rPr>
          <w:rFonts w:ascii="Arial" w:cs="Arial" w:eastAsia="Arial" w:hAnsi="Arial"/>
          <w:sz w:val="18"/>
          <w:szCs w:val="18"/>
          <w:b w:val="1"/>
          <w:bCs w:val="1"/>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137910" cy="22459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3791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Based on BXP’s Share of Annualized Rental Obligations.</w:t>
      </w:r>
    </w:p>
    <w:p>
      <w:pPr>
        <w:spacing w:after="0" w:line="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leases signed with occupancy commencing in the future. The number of square feet is an estimate.</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265" w:right="339" w:bottom="1440" w:gutter="0" w:footer="0" w:header="0"/>
          <w:type w:val="continuous"/>
        </w:sectPr>
      </w:pPr>
    </w:p>
    <w:bookmarkStart w:id="34" w:name="page35"/>
    <w:bookmarkEnd w:id="3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Occupancy by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TOTAL IN-SERVICE OFFICE PROPERTIES </w:t>
      </w:r>
      <w:r>
        <w:rPr>
          <w:rFonts w:ascii="Arial" w:cs="Arial" w:eastAsia="Arial" w:hAnsi="Arial"/>
          <w:sz w:val="18"/>
          <w:szCs w:val="18"/>
          <w:b w:val="1"/>
          <w:bCs w:val="1"/>
          <w:i w:val="1"/>
          <w:iCs w:val="1"/>
          <w:color w:val="auto"/>
          <w:vertAlign w:val="superscript"/>
        </w:rPr>
        <w:t>1</w:t>
      </w:r>
      <w:r>
        <w:rPr>
          <w:rFonts w:ascii="Arial" w:cs="Arial" w:eastAsia="Arial" w:hAnsi="Arial"/>
          <w:sz w:val="14"/>
          <w:szCs w:val="14"/>
          <w:b w:val="1"/>
          <w:bCs w:val="1"/>
          <w:i w:val="1"/>
          <w:iCs w:val="1"/>
          <w:color w:val="auto"/>
        </w:rPr>
        <w:t xml:space="preserve"> - Quarter-over-Quarter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CBD</w:t>
            </w: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Suburban</w:t>
            </w:r>
          </w:p>
        </w:tc>
        <w:tc>
          <w:tcPr>
            <w:tcW w:w="9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top w:val="single" w:sz="8" w:color="auto"/>
              <w:bottom w:val="single" w:sz="8" w:color="auto"/>
            </w:tcBorders>
          </w:tcPr>
          <w:p>
            <w:pPr>
              <w:spacing w:after="0"/>
              <w:rPr>
                <w:sz w:val="18"/>
                <w:szCs w:val="18"/>
                <w:color w:val="auto"/>
              </w:rPr>
            </w:pPr>
          </w:p>
        </w:tc>
      </w:tr>
      <w:tr>
        <w:trPr>
          <w:trHeight w:val="19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30-Jun-24</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30-Jun-24</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30-Jun-24</w:t>
            </w:r>
          </w:p>
        </w:tc>
      </w:tr>
      <w:tr>
        <w:trPr>
          <w:trHeight w:val="189"/>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Boston</w:t>
            </w:r>
          </w:p>
        </w:tc>
        <w:tc>
          <w:tcPr>
            <w:tcW w:w="1240" w:type="dxa"/>
            <w:vAlign w:val="bottom"/>
          </w:tcPr>
          <w:p>
            <w:pPr>
              <w:jc w:val="right"/>
              <w:spacing w:after="0"/>
              <w:rPr>
                <w:sz w:val="20"/>
                <w:szCs w:val="20"/>
                <w:color w:val="auto"/>
              </w:rPr>
            </w:pPr>
            <w:r>
              <w:rPr>
                <w:rFonts w:ascii="Arial" w:cs="Arial" w:eastAsia="Arial" w:hAnsi="Arial"/>
                <w:sz w:val="14"/>
                <w:szCs w:val="14"/>
                <w:color w:val="auto"/>
              </w:rPr>
              <w:t>95.7 %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95.3 %</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77.1 %</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76.8 %</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90.1 %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89.8 %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Los Angeles</w:t>
            </w:r>
          </w:p>
        </w:tc>
        <w:tc>
          <w:tcPr>
            <w:tcW w:w="1240" w:type="dxa"/>
            <w:vAlign w:val="bottom"/>
          </w:tcPr>
          <w:p>
            <w:pPr>
              <w:jc w:val="right"/>
              <w:spacing w:after="0"/>
              <w:rPr>
                <w:sz w:val="20"/>
                <w:szCs w:val="20"/>
                <w:color w:val="auto"/>
              </w:rPr>
            </w:pPr>
            <w:r>
              <w:rPr>
                <w:rFonts w:ascii="Arial" w:cs="Arial" w:eastAsia="Arial" w:hAnsi="Arial"/>
                <w:sz w:val="14"/>
                <w:szCs w:val="14"/>
                <w:color w:val="auto"/>
              </w:rPr>
              <w:t>84.9 %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85.0 %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84.9 %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85.0 %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1240" w:type="dxa"/>
            <w:vAlign w:val="bottom"/>
          </w:tcPr>
          <w:p>
            <w:pPr>
              <w:jc w:val="right"/>
              <w:spacing w:after="0"/>
              <w:rPr>
                <w:sz w:val="20"/>
                <w:szCs w:val="20"/>
                <w:color w:val="auto"/>
              </w:rPr>
            </w:pPr>
            <w:r>
              <w:rPr>
                <w:rFonts w:ascii="Arial" w:cs="Arial" w:eastAsia="Arial" w:hAnsi="Arial"/>
                <w:sz w:val="14"/>
                <w:szCs w:val="14"/>
                <w:color w:val="auto"/>
              </w:rPr>
              <w:t>88.9 %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90.8 %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67.3 %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69.5 %</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85.1 %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87.0 %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San Francisco</w:t>
            </w:r>
          </w:p>
        </w:tc>
        <w:tc>
          <w:tcPr>
            <w:tcW w:w="1240" w:type="dxa"/>
            <w:vAlign w:val="bottom"/>
          </w:tcPr>
          <w:p>
            <w:pPr>
              <w:jc w:val="right"/>
              <w:spacing w:after="0"/>
              <w:rPr>
                <w:sz w:val="20"/>
                <w:szCs w:val="20"/>
                <w:color w:val="auto"/>
              </w:rPr>
            </w:pPr>
            <w:r>
              <w:rPr>
                <w:rFonts w:ascii="Arial" w:cs="Arial" w:eastAsia="Arial" w:hAnsi="Arial"/>
                <w:sz w:val="14"/>
                <w:szCs w:val="14"/>
                <w:color w:val="auto"/>
              </w:rPr>
              <w:t>84.2 %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84.0 %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71.2 %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70.0 %</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80.9 %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80.5 %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Seattle</w:t>
            </w:r>
          </w:p>
        </w:tc>
        <w:tc>
          <w:tcPr>
            <w:tcW w:w="1240" w:type="dxa"/>
            <w:vAlign w:val="bottom"/>
          </w:tcPr>
          <w:p>
            <w:pPr>
              <w:jc w:val="right"/>
              <w:spacing w:after="0"/>
              <w:rPr>
                <w:sz w:val="20"/>
                <w:szCs w:val="20"/>
                <w:color w:val="auto"/>
              </w:rPr>
            </w:pPr>
            <w:r>
              <w:rPr>
                <w:rFonts w:ascii="Arial" w:cs="Arial" w:eastAsia="Arial" w:hAnsi="Arial"/>
                <w:sz w:val="14"/>
                <w:szCs w:val="14"/>
                <w:color w:val="auto"/>
              </w:rPr>
              <w:t>80.2 %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80.2 %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80.2 %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80.2 %</w:t>
            </w:r>
          </w:p>
        </w:tc>
      </w:tr>
      <w:tr>
        <w:trPr>
          <w:trHeight w:val="20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65.1 %</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89.8 %</w:t>
            </w:r>
          </w:p>
        </w:tc>
      </w:tr>
      <w:tr>
        <w:trPr>
          <w:trHeight w:val="198"/>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Total Portfolio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73.1 %</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5709285" cy="1885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92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SAME PROPERTY OFFICE PROPERTIES </w:t>
      </w:r>
      <w:r>
        <w:rPr>
          <w:rFonts w:ascii="Arial" w:cs="Arial" w:eastAsia="Arial" w:hAnsi="Arial"/>
          <w:sz w:val="9"/>
          <w:szCs w:val="9"/>
          <w:b w:val="1"/>
          <w:bCs w:val="1"/>
          <w:i w:val="1"/>
          <w:iCs w:val="1"/>
          <w:color w:val="auto"/>
        </w:rPr>
        <w:t>1, 2, 3</w:t>
      </w:r>
      <w:r>
        <w:rPr>
          <w:rFonts w:ascii="Arial" w:cs="Arial" w:eastAsia="Arial" w:hAnsi="Arial"/>
          <w:sz w:val="14"/>
          <w:szCs w:val="14"/>
          <w:b w:val="1"/>
          <w:bCs w:val="1"/>
          <w:i w:val="1"/>
          <w:iCs w:val="1"/>
          <w:color w:val="auto"/>
        </w:rPr>
        <w:t xml:space="preserve"> - Year-over-Year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CBD</w:t>
            </w: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Suburban</w:t>
            </w:r>
          </w:p>
        </w:tc>
        <w:tc>
          <w:tcPr>
            <w:tcW w:w="9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top w:val="single" w:sz="8" w:color="auto"/>
              <w:bottom w:val="single" w:sz="8" w:color="auto"/>
            </w:tcBorders>
          </w:tcPr>
          <w:p>
            <w:pPr>
              <w:spacing w:after="0"/>
              <w:rPr>
                <w:sz w:val="18"/>
                <w:szCs w:val="18"/>
                <w:color w:val="auto"/>
              </w:rPr>
            </w:pPr>
          </w:p>
        </w:tc>
      </w:tr>
      <w:tr>
        <w:trPr>
          <w:trHeight w:val="19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30-Sep-23</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30-Sep-23</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30-Sep-23</w:t>
            </w:r>
          </w:p>
        </w:tc>
      </w:tr>
      <w:tr>
        <w:trPr>
          <w:trHeight w:val="189"/>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Boston</w:t>
            </w:r>
          </w:p>
        </w:tc>
        <w:tc>
          <w:tcPr>
            <w:tcW w:w="1240" w:type="dxa"/>
            <w:vAlign w:val="bottom"/>
          </w:tcPr>
          <w:p>
            <w:pPr>
              <w:jc w:val="right"/>
              <w:spacing w:after="0"/>
              <w:rPr>
                <w:sz w:val="20"/>
                <w:szCs w:val="20"/>
                <w:color w:val="auto"/>
              </w:rPr>
            </w:pPr>
            <w:r>
              <w:rPr>
                <w:rFonts w:ascii="Arial" w:cs="Arial" w:eastAsia="Arial" w:hAnsi="Arial"/>
                <w:sz w:val="14"/>
                <w:szCs w:val="14"/>
                <w:color w:val="auto"/>
              </w:rPr>
              <w:t>95.6 %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96.0 %</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79.2 %</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84.9 %</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90.9 %</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92.8 %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Los Angeles</w:t>
            </w:r>
          </w:p>
        </w:tc>
        <w:tc>
          <w:tcPr>
            <w:tcW w:w="1240" w:type="dxa"/>
            <w:vAlign w:val="bottom"/>
          </w:tcPr>
          <w:p>
            <w:pPr>
              <w:jc w:val="right"/>
              <w:spacing w:after="0"/>
              <w:rPr>
                <w:sz w:val="20"/>
                <w:szCs w:val="20"/>
                <w:color w:val="auto"/>
              </w:rPr>
            </w:pPr>
            <w:r>
              <w:rPr>
                <w:rFonts w:ascii="Arial" w:cs="Arial" w:eastAsia="Arial" w:hAnsi="Arial"/>
                <w:sz w:val="14"/>
                <w:szCs w:val="14"/>
                <w:color w:val="auto"/>
              </w:rPr>
              <w:t>89.6 %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87.8 %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89.6 %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87.8 %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1240" w:type="dxa"/>
            <w:vAlign w:val="bottom"/>
          </w:tcPr>
          <w:p>
            <w:pPr>
              <w:jc w:val="right"/>
              <w:spacing w:after="0"/>
              <w:rPr>
                <w:sz w:val="20"/>
                <w:szCs w:val="20"/>
                <w:color w:val="auto"/>
              </w:rPr>
            </w:pPr>
            <w:r>
              <w:rPr>
                <w:rFonts w:ascii="Arial" w:cs="Arial" w:eastAsia="Arial" w:hAnsi="Arial"/>
                <w:sz w:val="14"/>
                <w:szCs w:val="14"/>
                <w:color w:val="auto"/>
              </w:rPr>
              <w:t>88.9 %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92.1 %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67.3 %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81.1 %</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85.1 %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90.2 %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San Francisco</w:t>
            </w:r>
          </w:p>
        </w:tc>
        <w:tc>
          <w:tcPr>
            <w:tcW w:w="1240" w:type="dxa"/>
            <w:vAlign w:val="bottom"/>
          </w:tcPr>
          <w:p>
            <w:pPr>
              <w:jc w:val="right"/>
              <w:spacing w:after="0"/>
              <w:rPr>
                <w:sz w:val="20"/>
                <w:szCs w:val="20"/>
                <w:color w:val="auto"/>
              </w:rPr>
            </w:pPr>
            <w:r>
              <w:rPr>
                <w:rFonts w:ascii="Arial" w:cs="Arial" w:eastAsia="Arial" w:hAnsi="Arial"/>
                <w:sz w:val="14"/>
                <w:szCs w:val="14"/>
                <w:color w:val="auto"/>
              </w:rPr>
              <w:t>84.2 %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89.3 %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67.3 %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78.0 %</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80.3 %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86.7 %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Seattle</w:t>
            </w:r>
          </w:p>
        </w:tc>
        <w:tc>
          <w:tcPr>
            <w:tcW w:w="1240" w:type="dxa"/>
            <w:vAlign w:val="bottom"/>
          </w:tcPr>
          <w:p>
            <w:pPr>
              <w:jc w:val="right"/>
              <w:spacing w:after="0"/>
              <w:rPr>
                <w:sz w:val="20"/>
                <w:szCs w:val="20"/>
                <w:color w:val="auto"/>
              </w:rPr>
            </w:pPr>
            <w:r>
              <w:rPr>
                <w:rFonts w:ascii="Arial" w:cs="Arial" w:eastAsia="Arial" w:hAnsi="Arial"/>
                <w:sz w:val="14"/>
                <w:szCs w:val="14"/>
                <w:color w:val="auto"/>
              </w:rPr>
              <w:t>80.2 %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84.7 %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80.2 %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84.7 %</w:t>
            </w:r>
          </w:p>
        </w:tc>
      </w:tr>
      <w:tr>
        <w:trPr>
          <w:trHeight w:val="20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90.8 %</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91.6 %</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87.7 %</w:t>
            </w:r>
          </w:p>
        </w:tc>
      </w:tr>
      <w:tr>
        <w:trPr>
          <w:trHeight w:val="198"/>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Total Portfolio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82.7 %</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87.4 %</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5709285" cy="1885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92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right="300" w:hanging="72"/>
        <w:spacing w:after="0" w:line="281" w:lineRule="auto"/>
        <w:tabs>
          <w:tab w:leader="none" w:pos="78" w:val="left"/>
        </w:tabs>
        <w:numPr>
          <w:ilvl w:val="0"/>
          <w:numId w:val="64"/>
        </w:numPr>
        <w:rPr>
          <w:rFonts w:ascii="Arial" w:cs="Arial" w:eastAsia="Arial" w:hAnsi="Arial"/>
          <w:sz w:val="9"/>
          <w:szCs w:val="9"/>
          <w:color w:val="auto"/>
        </w:rPr>
      </w:pPr>
      <w:r>
        <w:rPr>
          <w:rFonts w:ascii="Arial" w:cs="Arial" w:eastAsia="Arial" w:hAnsi="Arial"/>
          <w:sz w:val="14"/>
          <w:szCs w:val="14"/>
          <w:color w:val="auto"/>
        </w:rPr>
        <w:t>Represents signed leases for which revenue recognition has commenced in accordance with GAAP. Includes 100% of joint venture properties. Does not include residential units and hotel.</w:t>
      </w:r>
    </w:p>
    <w:p>
      <w:pPr>
        <w:spacing w:after="0" w:line="1" w:lineRule="exact"/>
        <w:rPr>
          <w:sz w:val="20"/>
          <w:szCs w:val="20"/>
          <w:color w:val="auto"/>
        </w:rPr>
      </w:pPr>
    </w:p>
    <w:p>
      <w:pPr>
        <w:ind w:left="80" w:right="280" w:hanging="72"/>
        <w:spacing w:after="0" w:line="280" w:lineRule="auto"/>
        <w:tabs>
          <w:tab w:leader="none" w:pos="78" w:val="left"/>
        </w:tabs>
        <w:numPr>
          <w:ilvl w:val="0"/>
          <w:numId w:val="65"/>
        </w:numPr>
        <w:rPr>
          <w:rFonts w:ascii="Arial" w:cs="Arial" w:eastAsia="Arial" w:hAnsi="Arial"/>
          <w:sz w:val="9"/>
          <w:szCs w:val="9"/>
          <w:color w:val="auto"/>
        </w:rPr>
      </w:pPr>
      <w:r>
        <w:rPr>
          <w:rFonts w:ascii="Arial" w:cs="Arial" w:eastAsia="Arial" w:hAnsi="Arial"/>
          <w:sz w:val="14"/>
          <w:szCs w:val="14"/>
          <w:color w:val="auto"/>
        </w:rPr>
        <w:t>During the first quarter of 2024, the Company reassessed the classifications of its assets as either CBD or Suburban and determined that certain assets such as those in Reston, Virginia are located in areas with characteristics that more closely align with our definition of CBD due to their diverse live, work, and play environment. As a result, these assets are classified as CBD. Comparative period has been updated to reflect the same presentation.</w:t>
      </w:r>
    </w:p>
    <w:p>
      <w:pPr>
        <w:ind w:left="100" w:hanging="92"/>
        <w:spacing w:after="0" w:line="212" w:lineRule="auto"/>
        <w:tabs>
          <w:tab w:leader="none" w:pos="10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26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Q3 2024</w:t>
            </w:r>
          </w:p>
        </w:tc>
        <w:tc>
          <w:tcPr>
            <w:tcW w:w="0" w:type="dxa"/>
            <w:vAlign w:val="bottom"/>
          </w:tcPr>
          <w:p>
            <w:pPr>
              <w:spacing w:after="0"/>
              <w:rPr>
                <w:sz w:val="1"/>
                <w:szCs w:val="1"/>
                <w:color w:val="auto"/>
              </w:rPr>
            </w:pPr>
          </w:p>
        </w:tc>
      </w:tr>
      <w:tr>
        <w:trPr>
          <w:trHeight w:val="245"/>
        </w:trPr>
        <w:tc>
          <w:tcPr>
            <w:tcW w:w="38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Capital structure</w:t>
            </w:r>
          </w:p>
        </w:tc>
        <w:tc>
          <w:tcPr>
            <w:tcW w:w="0" w:type="dxa"/>
            <w:vAlign w:val="bottom"/>
          </w:tcPr>
          <w:p>
            <w:pPr>
              <w:spacing w:after="0"/>
              <w:rPr>
                <w:sz w:val="1"/>
                <w:szCs w:val="1"/>
                <w:color w:val="auto"/>
              </w:rPr>
            </w:pPr>
          </w:p>
        </w:tc>
      </w:tr>
      <w:tr>
        <w:trPr>
          <w:trHeight w:val="815"/>
        </w:trPr>
        <w:tc>
          <w:tcPr>
            <w:tcW w:w="3980" w:type="dxa"/>
            <w:vAlign w:val="bottom"/>
            <w:gridSpan w:val="2"/>
          </w:tcPr>
          <w:p>
            <w:pPr>
              <w:spacing w:after="0"/>
              <w:rPr>
                <w:sz w:val="20"/>
                <w:szCs w:val="20"/>
                <w:color w:val="auto"/>
              </w:rPr>
            </w:pPr>
            <w:r>
              <w:rPr>
                <w:rFonts w:ascii="Arial" w:cs="Arial" w:eastAsia="Arial" w:hAnsi="Arial"/>
                <w:sz w:val="14"/>
                <w:szCs w:val="14"/>
                <w:color w:val="auto"/>
              </w:rPr>
              <w:t>(in thousands, except percentages)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CONSOLIDATED DEBT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9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Mortgage Notes Payable</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4,303,632</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Unsecured Line of Credit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Unsecured Term Loans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Unsecured Commercial Paper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04"/>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Unsecured Senior Notes, at face value</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10,700,000</w:t>
            </w:r>
          </w:p>
        </w:tc>
        <w:tc>
          <w:tcPr>
            <w:tcW w:w="0" w:type="dxa"/>
            <w:vAlign w:val="bottom"/>
          </w:tcPr>
          <w:p>
            <w:pPr>
              <w:spacing w:after="0"/>
              <w:rPr>
                <w:sz w:val="1"/>
                <w:szCs w:val="1"/>
                <w:color w:val="auto"/>
              </w:rPr>
            </w:pPr>
          </w:p>
        </w:tc>
      </w:tr>
      <w:tr>
        <w:trPr>
          <w:trHeight w:val="195"/>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Outstanding Principal</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16,303,632</w:t>
            </w:r>
          </w:p>
        </w:tc>
        <w:tc>
          <w:tcPr>
            <w:tcW w:w="0" w:type="dxa"/>
            <w:vAlign w:val="bottom"/>
          </w:tcPr>
          <w:p>
            <w:pPr>
              <w:spacing w:after="0"/>
              <w:rPr>
                <w:sz w:val="1"/>
                <w:szCs w:val="1"/>
                <w:color w:val="auto"/>
              </w:rPr>
            </w:pPr>
          </w:p>
        </w:tc>
      </w:tr>
      <w:tr>
        <w:trPr>
          <w:trHeight w:val="202"/>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Discount on Unsecured Senior Notes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(11,580)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Deferred Financing Costs, Net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(72,324)</w:t>
            </w:r>
          </w:p>
        </w:tc>
        <w:tc>
          <w:tcPr>
            <w:tcW w:w="0" w:type="dxa"/>
            <w:vAlign w:val="bottom"/>
          </w:tcPr>
          <w:p>
            <w:pPr>
              <w:spacing w:after="0"/>
              <w:rPr>
                <w:sz w:val="1"/>
                <w:szCs w:val="1"/>
                <w:color w:val="auto"/>
              </w:rPr>
            </w:pPr>
          </w:p>
        </w:tc>
      </w:tr>
      <w:tr>
        <w:trPr>
          <w:trHeight w:val="207"/>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Fair Value Debt Adjustment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200"/>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Consolidated Debt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16,215,246</w:t>
            </w:r>
          </w:p>
        </w:tc>
        <w:tc>
          <w:tcPr>
            <w:tcW w:w="0" w:type="dxa"/>
            <w:vAlign w:val="bottom"/>
          </w:tcPr>
          <w:p>
            <w:pPr>
              <w:spacing w:after="0"/>
              <w:rPr>
                <w:sz w:val="1"/>
                <w:szCs w:val="1"/>
                <w:color w:val="auto"/>
              </w:rPr>
            </w:pPr>
          </w:p>
        </w:tc>
      </w:tr>
      <w:tr>
        <w:trPr>
          <w:trHeight w:val="2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MORTGAGE NOTES PAYABLE</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39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rPr>
              <w:t>Interest Rate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Property</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gridSpan w:val="2"/>
          </w:tcPr>
          <w:p>
            <w:pPr>
              <w:spacing w:after="0"/>
              <w:rPr>
                <w:sz w:val="17"/>
                <w:szCs w:val="17"/>
                <w:color w:val="auto"/>
              </w:rPr>
            </w:pPr>
          </w:p>
        </w:tc>
        <w:tc>
          <w:tcPr>
            <w:tcW w:w="1240" w:type="dxa"/>
            <w:vAlign w:val="bottom"/>
            <w:tcBorders>
              <w:bottom w:val="single" w:sz="8" w:color="auto"/>
            </w:tcBorders>
            <w:gridSpan w:val="2"/>
          </w:tcPr>
          <w:p>
            <w:pPr>
              <w:ind w:left="360"/>
              <w:spacing w:after="0" w:line="198" w:lineRule="exact"/>
              <w:rPr>
                <w:sz w:val="20"/>
                <w:szCs w:val="20"/>
                <w:color w:val="auto"/>
              </w:rPr>
            </w:pPr>
            <w:r>
              <w:rPr>
                <w:rFonts w:ascii="Arial" w:cs="Arial" w:eastAsia="Arial" w:hAnsi="Arial"/>
                <w:sz w:val="14"/>
                <w:szCs w:val="14"/>
                <w:b w:val="1"/>
                <w:bCs w:val="1"/>
                <w:color w:val="auto"/>
              </w:rPr>
              <w:t xml:space="preserve">GAAP </w:t>
            </w:r>
            <w:r>
              <w:rPr>
                <w:rFonts w:ascii="Arial" w:cs="Arial" w:eastAsia="Arial" w:hAnsi="Arial"/>
                <w:sz w:val="18"/>
                <w:szCs w:val="18"/>
                <w:b w:val="1"/>
                <w:bCs w:val="1"/>
                <w:color w:val="auto"/>
                <w:vertAlign w:val="superscript"/>
              </w:rPr>
              <w:t>1</w:t>
            </w:r>
          </w:p>
        </w:tc>
        <w:tc>
          <w:tcPr>
            <w:tcW w:w="260" w:type="dxa"/>
            <w:vAlign w:val="bottom"/>
            <w:gridSpan w:val="3"/>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60"/>
              <w:spacing w:after="0" w:line="198" w:lineRule="exact"/>
              <w:rPr>
                <w:sz w:val="20"/>
                <w:szCs w:val="20"/>
                <w:color w:val="auto"/>
              </w:rPr>
            </w:pPr>
            <w:r>
              <w:rPr>
                <w:rFonts w:ascii="Arial" w:cs="Arial" w:eastAsia="Arial" w:hAnsi="Arial"/>
                <w:sz w:val="14"/>
                <w:szCs w:val="14"/>
                <w:b w:val="1"/>
                <w:bCs w:val="1"/>
                <w:color w:val="auto"/>
              </w:rPr>
              <w:t xml:space="preserve">Stated </w:t>
            </w:r>
            <w:r>
              <w:rPr>
                <w:rFonts w:ascii="Arial" w:cs="Arial" w:eastAsia="Arial" w:hAnsi="Arial"/>
                <w:sz w:val="18"/>
                <w:szCs w:val="18"/>
                <w:b w:val="1"/>
                <w:bCs w:val="1"/>
                <w:color w:val="auto"/>
                <w:vertAlign w:val="superscript"/>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198"/>
        </w:trPr>
        <w:tc>
          <w:tcPr>
            <w:tcW w:w="3980" w:type="dxa"/>
            <w:vAlign w:val="bottom"/>
            <w:gridSpan w:val="2"/>
          </w:tcPr>
          <w:p>
            <w:pPr>
              <w:ind w:left="20"/>
              <w:spacing w:after="0" w:line="198" w:lineRule="exact"/>
              <w:rPr>
                <w:sz w:val="20"/>
                <w:szCs w:val="20"/>
                <w:color w:val="auto"/>
              </w:rPr>
            </w:pPr>
            <w:r>
              <w:rPr>
                <w:rFonts w:ascii="Arial" w:cs="Arial" w:eastAsia="Arial" w:hAnsi="Arial"/>
                <w:sz w:val="14"/>
                <w:szCs w:val="14"/>
                <w:color w:val="auto"/>
              </w:rPr>
              <w:t xml:space="preserve">901 New York Avenue </w:t>
            </w:r>
            <w:r>
              <w:rPr>
                <w:rFonts w:ascii="Arial" w:cs="Arial" w:eastAsia="Arial" w:hAnsi="Arial"/>
                <w:sz w:val="18"/>
                <w:szCs w:val="18"/>
                <w:color w:val="auto"/>
                <w:vertAlign w:val="superscript"/>
              </w:rPr>
              <w:t>3</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jc w:val="right"/>
              <w:ind w:right="260"/>
              <w:spacing w:after="0"/>
              <w:rPr>
                <w:sz w:val="20"/>
                <w:szCs w:val="20"/>
                <w:color w:val="auto"/>
              </w:rPr>
            </w:pPr>
            <w:r>
              <w:rPr>
                <w:rFonts w:ascii="Arial" w:cs="Arial" w:eastAsia="Arial" w:hAnsi="Arial"/>
                <w:sz w:val="14"/>
                <w:szCs w:val="14"/>
                <w:color w:val="auto"/>
              </w:rPr>
              <w:t>January 5, 2025</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420"/>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7"/>
                <w:szCs w:val="17"/>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203,632</w:t>
            </w:r>
          </w:p>
        </w:tc>
        <w:tc>
          <w:tcPr>
            <w:tcW w:w="0" w:type="dxa"/>
            <w:vAlign w:val="bottom"/>
          </w:tcPr>
          <w:p>
            <w:pPr>
              <w:spacing w:after="0"/>
              <w:rPr>
                <w:sz w:val="1"/>
                <w:szCs w:val="1"/>
                <w:color w:val="auto"/>
              </w:rPr>
            </w:pPr>
          </w:p>
        </w:tc>
      </w:tr>
      <w:tr>
        <w:trPr>
          <w:trHeight w:val="205"/>
        </w:trPr>
        <w:tc>
          <w:tcPr>
            <w:tcW w:w="3980" w:type="dxa"/>
            <w:vAlign w:val="bottom"/>
            <w:gridSpan w:val="2"/>
          </w:tcPr>
          <w:p>
            <w:pPr>
              <w:ind w:left="20"/>
              <w:spacing w:after="0" w:line="205" w:lineRule="exact"/>
              <w:rPr>
                <w:sz w:val="20"/>
                <w:szCs w:val="20"/>
                <w:color w:val="auto"/>
              </w:rPr>
            </w:pPr>
            <w:r>
              <w:rPr>
                <w:rFonts w:ascii="Arial" w:cs="Arial" w:eastAsia="Arial" w:hAnsi="Arial"/>
                <w:sz w:val="14"/>
                <w:szCs w:val="14"/>
                <w:color w:val="auto"/>
              </w:rPr>
              <w:t xml:space="preserve">Santa Monica Business Park </w:t>
            </w:r>
            <w:r>
              <w:rPr>
                <w:rFonts w:ascii="Arial" w:cs="Arial" w:eastAsia="Arial" w:hAnsi="Arial"/>
                <w:sz w:val="18"/>
                <w:szCs w:val="18"/>
                <w:color w:val="auto"/>
                <w:vertAlign w:val="superscript"/>
              </w:rPr>
              <w:t>4</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July 19, 2025</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420"/>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9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767 Fifth Avenue (The GM Building) (60% ownership)</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June 9, 2027</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42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2,300,000</w:t>
            </w:r>
          </w:p>
        </w:tc>
        <w:tc>
          <w:tcPr>
            <w:tcW w:w="0" w:type="dxa"/>
            <w:vAlign w:val="bottom"/>
          </w:tcPr>
          <w:p>
            <w:pPr>
              <w:spacing w:after="0"/>
              <w:rPr>
                <w:sz w:val="1"/>
                <w:szCs w:val="1"/>
                <w:color w:val="auto"/>
              </w:rPr>
            </w:pPr>
          </w:p>
        </w:tc>
      </w:tr>
      <w:tr>
        <w:trPr>
          <w:trHeight w:val="157"/>
        </w:trPr>
        <w:tc>
          <w:tcPr>
            <w:tcW w:w="5260" w:type="dxa"/>
            <w:vAlign w:val="bottom"/>
            <w:gridSpan w:val="5"/>
          </w:tcPr>
          <w:p>
            <w:pPr>
              <w:ind w:left="20"/>
              <w:spacing w:after="0" w:line="157" w:lineRule="exact"/>
              <w:rPr>
                <w:sz w:val="20"/>
                <w:szCs w:val="20"/>
                <w:color w:val="auto"/>
              </w:rPr>
            </w:pPr>
            <w:r>
              <w:rPr>
                <w:rFonts w:ascii="Arial" w:cs="Arial" w:eastAsia="Arial" w:hAnsi="Arial"/>
                <w:sz w:val="14"/>
                <w:szCs w:val="14"/>
                <w:color w:val="auto"/>
              </w:rPr>
              <w:t>90 Broadway, 325 Main Street, 355 Main Street and Kendall Center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ind w:left="420"/>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90"/>
        </w:trPr>
        <w:tc>
          <w:tcPr>
            <w:tcW w:w="3980" w:type="dxa"/>
            <w:vAlign w:val="bottom"/>
            <w:gridSpan w:val="2"/>
          </w:tcPr>
          <w:p>
            <w:pPr>
              <w:ind w:left="180"/>
              <w:spacing w:after="0"/>
              <w:rPr>
                <w:sz w:val="20"/>
                <w:szCs w:val="20"/>
                <w:color w:val="auto"/>
              </w:rPr>
            </w:pPr>
            <w:r>
              <w:rPr>
                <w:rFonts w:ascii="Arial" w:cs="Arial" w:eastAsia="Arial" w:hAnsi="Arial"/>
                <w:sz w:val="14"/>
                <w:szCs w:val="14"/>
                <w:color w:val="auto"/>
              </w:rPr>
              <w:t>Green Garage</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jc w:val="right"/>
              <w:ind w:right="260"/>
              <w:spacing w:after="0"/>
              <w:rPr>
                <w:sz w:val="20"/>
                <w:szCs w:val="20"/>
                <w:color w:val="auto"/>
              </w:rPr>
            </w:pPr>
            <w:r>
              <w:rPr>
                <w:rFonts w:ascii="Arial" w:cs="Arial" w:eastAsia="Arial" w:hAnsi="Arial"/>
                <w:sz w:val="14"/>
                <w:szCs w:val="14"/>
                <w:color w:val="auto"/>
              </w:rPr>
              <w:t>October 26, 2028</w:t>
            </w: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601 Lexington Avenue (55% ownership)</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jc w:val="right"/>
              <w:ind w:right="260"/>
              <w:spacing w:after="0"/>
              <w:rPr>
                <w:sz w:val="20"/>
                <w:szCs w:val="20"/>
                <w:color w:val="auto"/>
              </w:rPr>
            </w:pPr>
            <w:r>
              <w:rPr>
                <w:rFonts w:ascii="Arial" w:cs="Arial" w:eastAsia="Arial" w:hAnsi="Arial"/>
                <w:sz w:val="14"/>
                <w:szCs w:val="14"/>
                <w:color w:val="auto"/>
              </w:rPr>
              <w:t>January 9, 2032</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420"/>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0"/>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4,303,632</w:t>
            </w:r>
          </w:p>
        </w:tc>
        <w:tc>
          <w:tcPr>
            <w:tcW w:w="0" w:type="dxa"/>
            <w:vAlign w:val="bottom"/>
          </w:tcPr>
          <w:p>
            <w:pPr>
              <w:spacing w:after="0"/>
              <w:rPr>
                <w:sz w:val="1"/>
                <w:szCs w:val="1"/>
                <w:color w:val="auto"/>
              </w:rPr>
            </w:pPr>
          </w:p>
        </w:tc>
      </w:tr>
      <w:tr>
        <w:trPr>
          <w:trHeight w:val="20"/>
        </w:trPr>
        <w:tc>
          <w:tcPr>
            <w:tcW w:w="6400" w:type="dxa"/>
            <w:vAlign w:val="bottom"/>
            <w:gridSpan w:val="9"/>
            <w:vMerge w:val="restart"/>
          </w:tcPr>
          <w:p>
            <w:pPr>
              <w:spacing w:after="0"/>
              <w:rPr>
                <w:sz w:val="20"/>
                <w:szCs w:val="20"/>
                <w:color w:val="auto"/>
              </w:rPr>
            </w:pPr>
            <w:r>
              <w:rPr>
                <w:rFonts w:ascii="Arial" w:cs="Arial" w:eastAsia="Arial" w:hAnsi="Arial"/>
                <w:sz w:val="14"/>
                <w:szCs w:val="14"/>
                <w:b w:val="1"/>
                <w:bCs w:val="1"/>
                <w:i w:val="1"/>
                <w:iCs w:val="1"/>
                <w:color w:val="auto"/>
              </w:rPr>
              <w:t xml:space="preserve">BOSTON PROPERTIES LIMITED PARTNERSHIP UNSECURED SENIOR NOTES </w:t>
            </w:r>
            <w:r>
              <w:rPr>
                <w:rFonts w:ascii="Arial" w:cs="Arial" w:eastAsia="Arial" w:hAnsi="Arial"/>
                <w:sz w:val="18"/>
                <w:szCs w:val="18"/>
                <w:b w:val="1"/>
                <w:bCs w:val="1"/>
                <w:i w:val="1"/>
                <w:iCs w:val="1"/>
                <w:color w:val="auto"/>
                <w:vertAlign w:val="superscript"/>
              </w:rPr>
              <w:t>5</w:t>
            </w: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6400" w:type="dxa"/>
            <w:vAlign w:val="bottom"/>
            <w:tcBorders>
              <w:bottom w:val="single" w:sz="8" w:color="auto"/>
            </w:tcBorders>
            <w:gridSpan w:val="9"/>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Pr>
          <w:p>
            <w:pPr>
              <w:spacing w:after="0"/>
              <w:rPr>
                <w:sz w:val="17"/>
                <w:szCs w:val="17"/>
                <w:color w:val="auto"/>
              </w:rPr>
            </w:pPr>
          </w:p>
        </w:tc>
        <w:tc>
          <w:tcPr>
            <w:tcW w:w="23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Effective Yield (on issue date)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Coupon</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7 Year Unsecured Senior Notes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January 15, 2025</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6"/>
                <w:szCs w:val="16"/>
                <w:color w:val="auto"/>
              </w:rPr>
            </w:pPr>
          </w:p>
        </w:tc>
        <w:tc>
          <w:tcPr>
            <w:tcW w:w="380" w:type="dxa"/>
            <w:vAlign w:val="bottom"/>
            <w:gridSpan w:val="5"/>
          </w:tcPr>
          <w:p>
            <w:pPr>
              <w:jc w:val="right"/>
              <w:ind w:right="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 Year Unsecured Senior Notes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February 1, 2026</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 Year Unsecured Senior Notes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October 1, 2026</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3.50%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5 Year Unsecured Senior Notes (“green bonds”)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December 1, 2027</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 Year Unsecured Senior Notes (“green bonds”)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December 1, 2028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 Year Unsecured Senior Notes (“green bonds”)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June 21, 2029</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10.5 Year Unsecured Senior Notes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March 15, 2030</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10.75 Year Unsecured Senior Notes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January 30, 2031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11 Year Unsecured Senior Notes (“green bonds”)</w:t>
            </w:r>
          </w:p>
        </w:tc>
        <w:tc>
          <w:tcPr>
            <w:tcW w:w="3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April 1, 2032</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12 Year Unsecured Senior Notes (“green bonds”)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October 1, 2033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10.7 Year Unsecured Senior Notes (“green bonds”)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January 15, 2034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10 Year Unsecured Senior Notes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January 15, 2035</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5"/>
          </w:tcPr>
          <w:p>
            <w:pPr>
              <w:jc w:val="right"/>
              <w:ind w:right="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10,700,000</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CAPITALIZATION</w:t>
            </w: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39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3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5"/>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tcPr>
          <w:p>
            <w:pPr>
              <w:ind w:left="60"/>
              <w:spacing w:after="0"/>
              <w:rPr>
                <w:sz w:val="20"/>
                <w:szCs w:val="20"/>
                <w:color w:val="auto"/>
              </w:rPr>
            </w:pPr>
            <w:r>
              <w:rPr>
                <w:rFonts w:ascii="Arial" w:cs="Arial" w:eastAsia="Arial" w:hAnsi="Arial"/>
                <w:sz w:val="14"/>
                <w:szCs w:val="14"/>
                <w:b w:val="1"/>
                <w:bCs w:val="1"/>
                <w:color w:val="auto"/>
              </w:rPr>
              <w:t>Shares/Units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Outstanding</w:t>
            </w:r>
          </w:p>
        </w:tc>
        <w:tc>
          <w:tcPr>
            <w:tcW w:w="220" w:type="dxa"/>
            <w:vAlign w:val="bottom"/>
            <w:gridSpan w:val="2"/>
          </w:tcPr>
          <w:p>
            <w:pPr>
              <w:spacing w:after="0"/>
              <w:rPr>
                <w:sz w:val="17"/>
                <w:szCs w:val="17"/>
                <w:color w:val="auto"/>
              </w:rPr>
            </w:pPr>
          </w:p>
        </w:tc>
        <w:tc>
          <w:tcPr>
            <w:tcW w:w="12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Equivalents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Equivalent Value </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9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157,980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157,980</w:t>
            </w:r>
          </w:p>
        </w:tc>
        <w:tc>
          <w:tcPr>
            <w:tcW w:w="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12,711,071</w:t>
            </w:r>
          </w:p>
        </w:tc>
        <w:tc>
          <w:tcPr>
            <w:tcW w:w="0" w:type="dxa"/>
            <w:vAlign w:val="bottom"/>
          </w:tcPr>
          <w:p>
            <w:pPr>
              <w:spacing w:after="0"/>
              <w:rPr>
                <w:sz w:val="1"/>
                <w:szCs w:val="1"/>
                <w:color w:val="auto"/>
              </w:rPr>
            </w:pPr>
          </w:p>
        </w:tc>
      </w:tr>
      <w:tr>
        <w:trPr>
          <w:trHeight w:val="204"/>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Common Operating Partnership Units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18,263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18,263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1,469,441</w:t>
            </w:r>
          </w:p>
        </w:tc>
        <w:tc>
          <w:tcPr>
            <w:tcW w:w="0" w:type="dxa"/>
            <w:vAlign w:val="bottom"/>
          </w:tcPr>
          <w:p>
            <w:pPr>
              <w:spacing w:after="0"/>
              <w:rPr>
                <w:sz w:val="1"/>
                <w:szCs w:val="1"/>
                <w:color w:val="auto"/>
              </w:rPr>
            </w:pPr>
          </w:p>
        </w:tc>
      </w:tr>
      <w:tr>
        <w:trPr>
          <w:trHeight w:val="194"/>
        </w:trPr>
        <w:tc>
          <w:tcPr>
            <w:tcW w:w="3980" w:type="dxa"/>
            <w:vAlign w:val="bottom"/>
            <w:gridSpan w:val="2"/>
          </w:tcPr>
          <w:p>
            <w:pPr>
              <w:ind w:left="220"/>
              <w:spacing w:after="0"/>
              <w:rPr>
                <w:sz w:val="20"/>
                <w:szCs w:val="20"/>
                <w:color w:val="auto"/>
              </w:rPr>
            </w:pPr>
            <w:r>
              <w:rPr>
                <w:rFonts w:ascii="Arial" w:cs="Arial" w:eastAsia="Arial" w:hAnsi="Arial"/>
                <w:sz w:val="14"/>
                <w:szCs w:val="14"/>
                <w:color w:val="auto"/>
              </w:rPr>
              <w:t>Total Equity</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176,243</w:t>
            </w:r>
          </w:p>
        </w:tc>
        <w:tc>
          <w:tcPr>
            <w:tcW w:w="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14,180,512</w:t>
            </w:r>
          </w:p>
        </w:tc>
        <w:tc>
          <w:tcPr>
            <w:tcW w:w="0" w:type="dxa"/>
            <w:vAlign w:val="bottom"/>
          </w:tcPr>
          <w:p>
            <w:pPr>
              <w:spacing w:after="0"/>
              <w:rPr>
                <w:sz w:val="1"/>
                <w:szCs w:val="1"/>
                <w:color w:val="auto"/>
              </w:rPr>
            </w:pPr>
          </w:p>
        </w:tc>
      </w:tr>
      <w:tr>
        <w:trPr>
          <w:trHeight w:val="41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 xml:space="preserve">Consolidated Debt </w:t>
            </w:r>
            <w:r>
              <w:rPr>
                <w:rFonts w:ascii="Arial" w:cs="Arial" w:eastAsia="Arial" w:hAnsi="Arial"/>
                <w:sz w:val="14"/>
                <w:szCs w:val="14"/>
                <w:b w:val="1"/>
                <w:bCs w:val="1"/>
                <w:color w:val="auto"/>
              </w:rPr>
              <w:t>(A)</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16,215,246</w:t>
            </w:r>
          </w:p>
        </w:tc>
        <w:tc>
          <w:tcPr>
            <w:tcW w:w="0" w:type="dxa"/>
            <w:vAlign w:val="bottom"/>
          </w:tcPr>
          <w:p>
            <w:pPr>
              <w:spacing w:after="0"/>
              <w:rPr>
                <w:sz w:val="1"/>
                <w:szCs w:val="1"/>
                <w:color w:val="auto"/>
              </w:rPr>
            </w:pPr>
          </w:p>
        </w:tc>
      </w:tr>
      <w:tr>
        <w:trPr>
          <w:trHeight w:val="196"/>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 xml:space="preserve">Add: BXP’s share of unconsolidated joint venture debt </w:t>
            </w:r>
            <w:r>
              <w:rPr>
                <w:rFonts w:ascii="Arial" w:cs="Arial" w:eastAsia="Arial" w:hAnsi="Arial"/>
                <w:sz w:val="9"/>
                <w:szCs w:val="9"/>
                <w:color w:val="auto"/>
              </w:rPr>
              <w:t>7</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1,382,412</w:t>
            </w:r>
          </w:p>
        </w:tc>
        <w:tc>
          <w:tcPr>
            <w:tcW w:w="0" w:type="dxa"/>
            <w:vAlign w:val="bottom"/>
          </w:tcPr>
          <w:p>
            <w:pPr>
              <w:spacing w:after="0"/>
              <w:rPr>
                <w:sz w:val="1"/>
                <w:szCs w:val="1"/>
                <w:color w:val="auto"/>
              </w:rPr>
            </w:pPr>
          </w:p>
        </w:tc>
      </w:tr>
      <w:tr>
        <w:trPr>
          <w:trHeight w:val="206"/>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 xml:space="preserve">Less: Partners’ share of consolidated debt </w:t>
            </w:r>
            <w:r>
              <w:rPr>
                <w:rFonts w:ascii="Arial" w:cs="Arial" w:eastAsia="Arial" w:hAnsi="Arial"/>
                <w:sz w:val="9"/>
                <w:szCs w:val="9"/>
                <w:color w:val="auto"/>
              </w:rPr>
              <w:t>8</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1,361,869</w:t>
            </w:r>
          </w:p>
        </w:tc>
        <w:tc>
          <w:tcPr>
            <w:tcW w:w="0" w:type="dxa"/>
            <w:vAlign w:val="bottom"/>
          </w:tcPr>
          <w:p>
            <w:pPr>
              <w:spacing w:after="0"/>
              <w:rPr>
                <w:sz w:val="1"/>
                <w:szCs w:val="1"/>
                <w:color w:val="auto"/>
              </w:rPr>
            </w:pPr>
          </w:p>
        </w:tc>
      </w:tr>
      <w:tr>
        <w:trPr>
          <w:trHeight w:val="20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 xml:space="preserve">BXP’s Share of Debt </w:t>
            </w:r>
            <w:r>
              <w:rPr>
                <w:rFonts w:ascii="Arial" w:cs="Arial" w:eastAsia="Arial" w:hAnsi="Arial"/>
                <w:sz w:val="9"/>
                <w:szCs w:val="9"/>
                <w:color w:val="auto"/>
              </w:rPr>
              <w:t>9</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16,235,789</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0"/>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 xml:space="preserve">Consolidated Market Capitalization </w:t>
            </w:r>
            <w:r>
              <w:rPr>
                <w:rFonts w:ascii="Arial" w:cs="Arial" w:eastAsia="Arial" w:hAnsi="Arial"/>
                <w:sz w:val="14"/>
                <w:szCs w:val="14"/>
                <w:b w:val="1"/>
                <w:bCs w:val="1"/>
                <w:color w:val="auto"/>
              </w:rPr>
              <w:t>(C)</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30,395,758</w:t>
            </w:r>
          </w:p>
        </w:tc>
        <w:tc>
          <w:tcPr>
            <w:tcW w:w="0" w:type="dxa"/>
            <w:vAlign w:val="bottom"/>
          </w:tcPr>
          <w:p>
            <w:pPr>
              <w:spacing w:after="0"/>
              <w:rPr>
                <w:sz w:val="1"/>
                <w:szCs w:val="1"/>
                <w:color w:val="auto"/>
              </w:rPr>
            </w:pPr>
          </w:p>
        </w:tc>
      </w:tr>
      <w:tr>
        <w:trPr>
          <w:trHeight w:val="19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9"/>
                <w:szCs w:val="9"/>
                <w:color w:val="auto"/>
              </w:rPr>
              <w:t>9</w:t>
            </w:r>
            <w:r>
              <w:rPr>
                <w:rFonts w:ascii="Arial" w:cs="Arial" w:eastAsia="Arial" w:hAnsi="Arial"/>
                <w:sz w:val="14"/>
                <w:szCs w:val="14"/>
                <w:color w:val="auto"/>
              </w:rPr>
              <w:t xml:space="preserve"> </w:t>
            </w:r>
            <w:r>
              <w:rPr>
                <w:rFonts w:ascii="Arial" w:cs="Arial" w:eastAsia="Arial" w:hAnsi="Arial"/>
                <w:sz w:val="14"/>
                <w:szCs w:val="14"/>
                <w:b w:val="1"/>
                <w:bCs w:val="1"/>
                <w:color w:val="auto"/>
              </w:rPr>
              <w:t>(D)</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30,416,301</w:t>
            </w:r>
          </w:p>
        </w:tc>
        <w:tc>
          <w:tcPr>
            <w:tcW w:w="0" w:type="dxa"/>
            <w:vAlign w:val="bottom"/>
          </w:tcPr>
          <w:p>
            <w:pPr>
              <w:spacing w:after="0"/>
              <w:rPr>
                <w:sz w:val="1"/>
                <w:szCs w:val="1"/>
                <w:color w:val="auto"/>
              </w:rPr>
            </w:pPr>
          </w:p>
        </w:tc>
      </w:tr>
      <w:tr>
        <w:trPr>
          <w:trHeight w:val="19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 xml:space="preserve">Consolidated Debt/Consolidated Market Capitalization </w:t>
            </w:r>
            <w:r>
              <w:rPr>
                <w:rFonts w:ascii="Arial" w:cs="Arial" w:eastAsia="Arial" w:hAnsi="Arial"/>
                <w:sz w:val="14"/>
                <w:szCs w:val="14"/>
                <w:b w:val="1"/>
                <w:bCs w:val="1"/>
                <w:color w:val="auto"/>
              </w:rPr>
              <w:t>(A÷C)</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53.35 %</w:t>
            </w:r>
          </w:p>
        </w:tc>
        <w:tc>
          <w:tcPr>
            <w:tcW w:w="0" w:type="dxa"/>
            <w:vAlign w:val="bottom"/>
          </w:tcPr>
          <w:p>
            <w:pPr>
              <w:spacing w:after="0"/>
              <w:rPr>
                <w:sz w:val="1"/>
                <w:szCs w:val="1"/>
                <w:color w:val="auto"/>
              </w:rPr>
            </w:pPr>
          </w:p>
        </w:tc>
      </w:tr>
      <w:tr>
        <w:trPr>
          <w:trHeight w:val="197"/>
        </w:trPr>
        <w:tc>
          <w:tcPr>
            <w:tcW w:w="5260" w:type="dxa"/>
            <w:vAlign w:val="bottom"/>
            <w:gridSpan w:val="5"/>
          </w:tcPr>
          <w:p>
            <w:pPr>
              <w:ind w:left="20"/>
              <w:spacing w:after="0"/>
              <w:rPr>
                <w:sz w:val="20"/>
                <w:szCs w:val="20"/>
                <w:color w:val="auto"/>
              </w:rPr>
            </w:pPr>
            <w:r>
              <w:rPr>
                <w:rFonts w:ascii="Arial" w:cs="Arial" w:eastAsia="Arial" w:hAnsi="Arial"/>
                <w:sz w:val="14"/>
                <w:szCs w:val="14"/>
                <w:color w:val="auto"/>
              </w:rPr>
              <w:t xml:space="preserve">BXP’s Share of Debt/BXP’s Share of Market Capitalization </w:t>
            </w:r>
            <w:r>
              <w:rPr>
                <w:rFonts w:ascii="Arial" w:cs="Arial" w:eastAsia="Arial" w:hAnsi="Arial"/>
                <w:sz w:val="9"/>
                <w:szCs w:val="9"/>
                <w:color w:val="auto"/>
              </w:rPr>
              <w:t>9</w:t>
            </w:r>
            <w:r>
              <w:rPr>
                <w:rFonts w:ascii="Arial" w:cs="Arial" w:eastAsia="Arial" w:hAnsi="Arial"/>
                <w:sz w:val="14"/>
                <w:szCs w:val="14"/>
                <w:color w:val="auto"/>
              </w:rPr>
              <w:t xml:space="preserve"> </w:t>
            </w:r>
            <w:r>
              <w:rPr>
                <w:rFonts w:ascii="Arial" w:cs="Arial" w:eastAsia="Arial" w:hAnsi="Arial"/>
                <w:sz w:val="14"/>
                <w:szCs w:val="14"/>
                <w:b w:val="1"/>
                <w:bCs w:val="1"/>
                <w:color w:val="auto"/>
              </w:rPr>
              <w:t>(B÷D)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-8562975</wp:posOffset>
            </wp:positionV>
            <wp:extent cx="25717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right="240" w:hanging="72"/>
        <w:spacing w:after="0" w:line="238" w:lineRule="auto"/>
        <w:tabs>
          <w:tab w:leader="none" w:pos="78"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and adjustments required to reflect loans and swaps at their fair values upon consolidation.</w:t>
      </w:r>
    </w:p>
    <w:p>
      <w:pPr>
        <w:sectPr>
          <w:pgSz w:w="11900" w:h="16838" w:orient="portrait"/>
          <w:cols w:equalWidth="0" w:num="1">
            <w:col w:w="11240"/>
          </w:cols>
          <w:pgMar w:left="320" w:top="265" w:right="339" w:bottom="1440" w:gutter="0" w:footer="0" w:header="0"/>
        </w:sectPr>
      </w:pPr>
    </w:p>
    <w:p>
      <w:pPr>
        <w:spacing w:after="0" w:line="32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265" w:right="339" w:bottom="1440" w:gutter="0" w:footer="0" w:header="0"/>
          <w:type w:val="continuous"/>
        </w:sectPr>
      </w:pPr>
    </w:p>
    <w:bookmarkStart w:id="36" w:name="page37"/>
    <w:bookmarkEnd w:id="36"/>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Capital structure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 w:hanging="72"/>
        <w:spacing w:after="0"/>
        <w:tabs>
          <w:tab w:leader="none" w:pos="8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The stated interest rate includes the effects of hedging transactions.</w:t>
      </w:r>
    </w:p>
    <w:p>
      <w:pPr>
        <w:spacing w:after="0" w:line="18" w:lineRule="exact"/>
        <w:rPr>
          <w:sz w:val="20"/>
          <w:szCs w:val="20"/>
          <w:color w:val="auto"/>
        </w:rPr>
      </w:pPr>
    </w:p>
    <w:p>
      <w:pPr>
        <w:ind w:left="80" w:right="180" w:hanging="72"/>
        <w:spacing w:after="0" w:line="234" w:lineRule="auto"/>
        <w:tabs>
          <w:tab w:leader="none" w:pos="78"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On January 11, 2024, the Company modified the mortgage loan to among other things provide for two extension options totaling five years of additional term, each subject to certain conditions. The first loan extension option provides for a term of four years at a fixed interest rate of 5.0% per annum.</w:t>
      </w:r>
    </w:p>
    <w:p>
      <w:pPr>
        <w:ind w:left="80" w:hanging="72"/>
        <w:spacing w:after="0" w:line="223" w:lineRule="auto"/>
        <w:tabs>
          <w:tab w:leader="none" w:pos="8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On October 8, 2024, the Company modified the mortgage loan to, among other things, extend the maturity date to October 8, 2028.</w:t>
      </w:r>
    </w:p>
    <w:p>
      <w:pPr>
        <w:spacing w:after="0" w:line="40"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All unsecured senior notes are rated BBB (negative), and Baa2 (stable) by S&amp;P and Moody’s, respectively.</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Values are based on the September 30, 2024 closing price of $80.46 per share of BXP common stock.</w:t>
      </w:r>
    </w:p>
    <w:p>
      <w:pPr>
        <w:spacing w:after="0" w:line="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Amount is calculated based on the Company’s percentage ownership interest in the unconsolidated joint venture entities. For additional detail, see page 36.</w:t>
      </w:r>
    </w:p>
    <w:p>
      <w:pPr>
        <w:ind w:right="1080"/>
        <w:spacing w:after="0" w:line="256"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Amount is calculated based on the outside partners’ percentage ownership interest in the consolidated joint venture entities. For additional detail, see page 34. </w:t>
      </w:r>
      <w:r>
        <w:rPr>
          <w:rFonts w:ascii="Arial" w:cs="Arial" w:eastAsia="Arial" w:hAnsi="Arial"/>
          <w:sz w:val="9"/>
          <w:szCs w:val="9"/>
          <w:color w:val="auto"/>
        </w:rPr>
        <w:t xml:space="preserve">9 </w:t>
      </w:r>
      <w:r>
        <w:rPr>
          <w:rFonts w:ascii="Arial" w:cs="Arial" w:eastAsia="Arial" w:hAnsi="Arial"/>
          <w:sz w:val="14"/>
          <w:szCs w:val="14"/>
          <w:color w:val="auto"/>
        </w:rPr>
        <w:t>See the Definitions and Reconciliations sections of this Supplemental package starting on page 57.</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265" w:right="339" w:bottom="1440" w:gutter="0" w:footer="0" w:header="0"/>
        </w:sectPr>
      </w:pPr>
    </w:p>
    <w:bookmarkStart w:id="37" w:name="page38"/>
    <w:bookmarkEnd w:id="37"/>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Debt analysis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0" w:type="dxa"/>
            <w:vAlign w:val="bottom"/>
          </w:tcPr>
          <w:p>
            <w:pPr>
              <w:ind w:left="2100"/>
              <w:spacing w:after="0"/>
              <w:rPr>
                <w:sz w:val="20"/>
                <w:szCs w:val="20"/>
                <w:color w:val="auto"/>
              </w:rPr>
            </w:pPr>
            <w:r>
              <w:rPr>
                <w:rFonts w:ascii="Arial" w:cs="Arial" w:eastAsia="Arial" w:hAnsi="Arial"/>
                <w:sz w:val="14"/>
                <w:szCs w:val="14"/>
                <w:color w:val="auto"/>
              </w:rPr>
              <w:t>2024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2</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2026</w:t>
            </w: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2027</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2028</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2029</w:t>
            </w:r>
          </w:p>
        </w:tc>
        <w:tc>
          <w:tcPr>
            <w:tcW w:w="40" w:type="dxa"/>
            <w:vAlign w:val="bottom"/>
          </w:tcPr>
          <w:p>
            <w:pPr>
              <w:spacing w:after="0"/>
              <w:rPr>
                <w:sz w:val="21"/>
                <w:szCs w:val="21"/>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2030</w:t>
            </w:r>
          </w:p>
        </w:tc>
        <w:tc>
          <w:tcPr>
            <w:tcW w:w="740" w:type="dxa"/>
            <w:vAlign w:val="bottom"/>
          </w:tcPr>
          <w:p>
            <w:pPr>
              <w:ind w:left="320"/>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21"/>
                <w:szCs w:val="21"/>
                <w:color w:val="auto"/>
              </w:rPr>
            </w:pPr>
          </w:p>
        </w:tc>
        <w:tc>
          <w:tcPr>
            <w:tcW w:w="600" w:type="dxa"/>
            <w:vAlign w:val="bottom"/>
            <w:gridSpan w:val="3"/>
          </w:tcPr>
          <w:p>
            <w:pPr>
              <w:ind w:left="280"/>
              <w:spacing w:after="0"/>
              <w:rPr>
                <w:sz w:val="20"/>
                <w:szCs w:val="20"/>
                <w:color w:val="auto"/>
              </w:rPr>
            </w:pPr>
            <w:r>
              <w:rPr>
                <w:rFonts w:ascii="Arial" w:cs="Arial" w:eastAsia="Arial" w:hAnsi="Arial"/>
                <w:sz w:val="14"/>
                <w:szCs w:val="14"/>
                <w:color w:val="auto"/>
                <w:w w:val="96"/>
              </w:rPr>
              <w:t>2032</w:t>
            </w:r>
          </w:p>
        </w:tc>
        <w:tc>
          <w:tcPr>
            <w:tcW w:w="1100" w:type="dxa"/>
            <w:vAlign w:val="bottom"/>
          </w:tcPr>
          <w:p>
            <w:pPr>
              <w:jc w:val="right"/>
              <w:ind w:right="329"/>
              <w:spacing w:after="0"/>
              <w:rPr>
                <w:sz w:val="20"/>
                <w:szCs w:val="20"/>
                <w:color w:val="auto"/>
              </w:rPr>
            </w:pPr>
            <w:r>
              <w:rPr>
                <w:rFonts w:ascii="Arial" w:cs="Arial" w:eastAsia="Arial" w:hAnsi="Arial"/>
                <w:sz w:val="14"/>
                <w:szCs w:val="14"/>
                <w:color w:val="auto"/>
              </w:rPr>
              <w:t>2033</w:t>
            </w:r>
          </w:p>
        </w:tc>
        <w:tc>
          <w:tcPr>
            <w:tcW w:w="380" w:type="dxa"/>
            <w:vAlign w:val="bottom"/>
            <w:gridSpan w:val="6"/>
          </w:tcPr>
          <w:p>
            <w:pPr>
              <w:jc w:val="right"/>
              <w:ind w:right="60"/>
              <w:spacing w:after="0"/>
              <w:rPr>
                <w:sz w:val="20"/>
                <w:szCs w:val="20"/>
                <w:color w:val="auto"/>
              </w:rPr>
            </w:pPr>
            <w:r>
              <w:rPr>
                <w:rFonts w:ascii="Arial" w:cs="Arial" w:eastAsia="Arial" w:hAnsi="Arial"/>
                <w:sz w:val="14"/>
                <w:szCs w:val="14"/>
                <w:color w:val="auto"/>
                <w:w w:val="96"/>
              </w:rPr>
              <w:t>2034</w:t>
            </w:r>
          </w:p>
        </w:tc>
        <w:tc>
          <w:tcPr>
            <w:tcW w:w="60" w:type="dxa"/>
            <w:vAlign w:val="bottom"/>
          </w:tcPr>
          <w:p>
            <w:pPr>
              <w:spacing w:after="0"/>
              <w:rPr>
                <w:sz w:val="21"/>
                <w:szCs w:val="21"/>
                <w:color w:val="auto"/>
              </w:rPr>
            </w:pPr>
          </w:p>
        </w:tc>
        <w:tc>
          <w:tcPr>
            <w:tcW w:w="1620" w:type="dxa"/>
            <w:vAlign w:val="bottom"/>
          </w:tcPr>
          <w:p>
            <w:pPr>
              <w:ind w:left="28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530"/>
        </w:trPr>
        <w:tc>
          <w:tcPr>
            <w:tcW w:w="4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UNSECURED CREDIT FACILITY - MATURES JUNE 15, 2026</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3"/>
            <w:vMerge w:val="restart"/>
          </w:tcPr>
          <w:p>
            <w:pPr>
              <w:ind w:left="540"/>
              <w:spacing w:after="0"/>
              <w:rPr>
                <w:sz w:val="20"/>
                <w:szCs w:val="20"/>
                <w:color w:val="auto"/>
              </w:rPr>
            </w:pPr>
            <w:r>
              <w:rPr>
                <w:rFonts w:ascii="Arial" w:cs="Arial" w:eastAsia="Arial" w:hAnsi="Arial"/>
                <w:sz w:val="13"/>
                <w:szCs w:val="13"/>
                <w:b w:val="1"/>
                <w:bCs w:val="1"/>
                <w:color w:val="auto"/>
              </w:rPr>
              <w:t>Facility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Outstanding at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rPr>
              <w:t>Remaining Capacity at</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September 30, 2024</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September 30, 2024</w:t>
            </w:r>
          </w:p>
        </w:tc>
        <w:tc>
          <w:tcPr>
            <w:tcW w:w="0" w:type="dxa"/>
            <w:vAlign w:val="bottom"/>
          </w:tcPr>
          <w:p>
            <w:pPr>
              <w:spacing w:after="0"/>
              <w:rPr>
                <w:sz w:val="1"/>
                <w:szCs w:val="1"/>
                <w:color w:val="auto"/>
              </w:rPr>
            </w:pPr>
          </w:p>
        </w:tc>
      </w:tr>
      <w:tr>
        <w:trPr>
          <w:trHeight w:val="191"/>
        </w:trPr>
        <w:tc>
          <w:tcPr>
            <w:tcW w:w="2600" w:type="dxa"/>
            <w:vAlign w:val="bottom"/>
          </w:tcPr>
          <w:p>
            <w:pPr>
              <w:ind w:left="20"/>
              <w:spacing w:after="0"/>
              <w:rPr>
                <w:sz w:val="20"/>
                <w:szCs w:val="20"/>
                <w:color w:val="auto"/>
              </w:rPr>
            </w:pPr>
            <w:r>
              <w:rPr>
                <w:rFonts w:ascii="Arial" w:cs="Arial" w:eastAsia="Arial" w:hAnsi="Arial"/>
                <w:sz w:val="14"/>
                <w:szCs w:val="14"/>
                <w:color w:val="auto"/>
              </w:rPr>
              <w:t>Unsecured Line of Credit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 w:type="dxa"/>
            <w:vAlign w:val="bottom"/>
          </w:tcPr>
          <w:p>
            <w:pPr>
              <w:spacing w:after="0"/>
              <w:rPr>
                <w:sz w:val="16"/>
                <w:szCs w:val="16"/>
                <w:color w:val="auto"/>
              </w:rPr>
            </w:pP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7"/>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03"/>
        </w:trPr>
        <w:tc>
          <w:tcPr>
            <w:tcW w:w="2600" w:type="dxa"/>
            <w:vAlign w:val="bottom"/>
          </w:tcPr>
          <w:p>
            <w:pPr>
              <w:ind w:left="20"/>
              <w:spacing w:after="0"/>
              <w:rPr>
                <w:sz w:val="20"/>
                <w:szCs w:val="20"/>
                <w:color w:val="auto"/>
              </w:rPr>
            </w:pPr>
            <w:r>
              <w:rPr>
                <w:rFonts w:ascii="Arial" w:cs="Arial" w:eastAsia="Arial" w:hAnsi="Arial"/>
                <w:sz w:val="14"/>
                <w:szCs w:val="14"/>
                <w:color w:val="auto"/>
              </w:rPr>
              <w:t>Less:</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240"/>
              <w:spacing w:after="0"/>
              <w:rPr>
                <w:sz w:val="20"/>
                <w:szCs w:val="20"/>
                <w:color w:val="auto"/>
              </w:rPr>
            </w:pPr>
            <w:r>
              <w:rPr>
                <w:rFonts w:ascii="Arial" w:cs="Arial" w:eastAsia="Arial" w:hAnsi="Arial"/>
                <w:sz w:val="14"/>
                <w:szCs w:val="14"/>
                <w:color w:val="auto"/>
              </w:rPr>
              <w:t xml:space="preserve">Unsecured Commercial Paper </w:t>
            </w:r>
            <w:r>
              <w:rPr>
                <w:rFonts w:ascii="Arial" w:cs="Arial" w:eastAsia="Arial" w:hAnsi="Arial"/>
                <w:sz w:val="18"/>
                <w:szCs w:val="18"/>
                <w:color w:val="auto"/>
                <w:vertAlign w:val="superscript"/>
              </w:rPr>
              <w:t>3</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94"/>
        </w:trPr>
        <w:tc>
          <w:tcPr>
            <w:tcW w:w="2600" w:type="dxa"/>
            <w:vAlign w:val="bottom"/>
          </w:tcPr>
          <w:p>
            <w:pPr>
              <w:ind w:left="240"/>
              <w:spacing w:after="0"/>
              <w:rPr>
                <w:sz w:val="20"/>
                <w:szCs w:val="20"/>
                <w:color w:val="auto"/>
              </w:rPr>
            </w:pPr>
            <w:r>
              <w:rPr>
                <w:rFonts w:ascii="Arial" w:cs="Arial" w:eastAsia="Arial" w:hAnsi="Arial"/>
                <w:sz w:val="14"/>
                <w:szCs w:val="14"/>
                <w:color w:val="auto"/>
              </w:rPr>
              <w:t>Letters of Credit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6,091</w:t>
            </w: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Arial" w:cs="Arial" w:eastAsia="Arial" w:hAnsi="Arial"/>
                <w:sz w:val="14"/>
                <w:szCs w:val="14"/>
                <w:color w:val="auto"/>
              </w:rPr>
              <w:t>Total Remaining Capacity</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7"/>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1,493,909</w:t>
            </w:r>
          </w:p>
        </w:tc>
        <w:tc>
          <w:tcPr>
            <w:tcW w:w="0" w:type="dxa"/>
            <w:vAlign w:val="bottom"/>
          </w:tcPr>
          <w:p>
            <w:pPr>
              <w:spacing w:after="0"/>
              <w:rPr>
                <w:sz w:val="1"/>
                <w:szCs w:val="1"/>
                <w:color w:val="auto"/>
              </w:rPr>
            </w:pPr>
          </w:p>
        </w:tc>
      </w:tr>
      <w:tr>
        <w:trPr>
          <w:trHeight w:val="21"/>
        </w:trPr>
        <w:tc>
          <w:tcPr>
            <w:tcW w:w="2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UNSECURED TERM LOANS</w:t>
            </w: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60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Maturity Date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b w:val="1"/>
                <w:bCs w:val="1"/>
                <w:color w:val="auto"/>
              </w:rPr>
              <w:t>Facility</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rPr>
              <w:t>Outstanding Principal</w:t>
            </w:r>
          </w:p>
        </w:tc>
        <w:tc>
          <w:tcPr>
            <w:tcW w:w="0" w:type="dxa"/>
            <w:vAlign w:val="bottom"/>
          </w:tcPr>
          <w:p>
            <w:pPr>
              <w:spacing w:after="0"/>
              <w:rPr>
                <w:sz w:val="1"/>
                <w:szCs w:val="1"/>
                <w:color w:val="auto"/>
              </w:rPr>
            </w:pPr>
          </w:p>
        </w:tc>
      </w:tr>
      <w:tr>
        <w:trPr>
          <w:trHeight w:val="191"/>
        </w:trPr>
        <w:tc>
          <w:tcPr>
            <w:tcW w:w="2600" w:type="dxa"/>
            <w:vAlign w:val="bottom"/>
          </w:tcPr>
          <w:p>
            <w:pPr>
              <w:ind w:left="20"/>
              <w:spacing w:after="0"/>
              <w:rPr>
                <w:sz w:val="20"/>
                <w:szCs w:val="20"/>
                <w:color w:val="auto"/>
              </w:rPr>
            </w:pPr>
            <w:r>
              <w:rPr>
                <w:rFonts w:ascii="Arial" w:cs="Arial" w:eastAsia="Arial" w:hAnsi="Arial"/>
                <w:sz w:val="14"/>
                <w:szCs w:val="14"/>
                <w:color w:val="auto"/>
              </w:rPr>
              <w:t>2023 Unsecured Term Loan</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color w:val="auto"/>
              </w:rPr>
              <w:t>May 16, 2025</w:t>
            </w:r>
          </w:p>
        </w:tc>
        <w:tc>
          <w:tcPr>
            <w:tcW w:w="6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700,000</w:t>
            </w:r>
          </w:p>
        </w:tc>
        <w:tc>
          <w:tcPr>
            <w:tcW w:w="440" w:type="dxa"/>
            <w:vAlign w:val="bottom"/>
            <w:gridSpan w:val="7"/>
          </w:tcPr>
          <w:p>
            <w:pPr>
              <w:jc w:val="right"/>
              <w:ind w:right="6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7"/>
        </w:trPr>
        <w:tc>
          <w:tcPr>
            <w:tcW w:w="2600" w:type="dxa"/>
            <w:vAlign w:val="bottom"/>
          </w:tcPr>
          <w:p>
            <w:pPr>
              <w:ind w:left="20"/>
              <w:spacing w:after="0"/>
              <w:rPr>
                <w:sz w:val="20"/>
                <w:szCs w:val="20"/>
                <w:color w:val="auto"/>
              </w:rPr>
            </w:pPr>
            <w:r>
              <w:rPr>
                <w:rFonts w:ascii="Arial" w:cs="Arial" w:eastAsia="Arial" w:hAnsi="Arial"/>
                <w:sz w:val="14"/>
                <w:szCs w:val="14"/>
                <w:color w:val="auto"/>
              </w:rPr>
              <w:t xml:space="preserve">2024 Unsecured Term Loan </w:t>
            </w:r>
            <w:r>
              <w:rPr>
                <w:rFonts w:ascii="Arial" w:cs="Arial" w:eastAsia="Arial" w:hAnsi="Arial"/>
                <w:sz w:val="9"/>
                <w:szCs w:val="9"/>
                <w:color w:val="auto"/>
              </w:rPr>
              <w:t>4</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color w:val="auto"/>
              </w:rPr>
              <w:t>September 26, 2025</w:t>
            </w:r>
          </w:p>
        </w:tc>
        <w:tc>
          <w:tcPr>
            <w:tcW w:w="6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gridSpan w:val="7"/>
          </w:tcPr>
          <w:p>
            <w:pPr>
              <w:jc w:val="right"/>
              <w:ind w:right="6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7"/>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UNSECURED AND SECURED DEBT ANALYSIS</w:t>
            </w: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3360" w:type="dxa"/>
            <w:vAlign w:val="bottom"/>
            <w:tcBorders>
              <w:bottom w:val="single" w:sz="8" w:color="auto"/>
            </w:tcBorders>
            <w:gridSpan w:val="2"/>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Weighted Average</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 of Total Debt</w:t>
            </w: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Stated Rates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9"/>
              <w:spacing w:after="0" w:line="185" w:lineRule="exact"/>
              <w:rPr>
                <w:sz w:val="20"/>
                <w:szCs w:val="20"/>
                <w:color w:val="auto"/>
              </w:rPr>
            </w:pPr>
            <w:r>
              <w:rPr>
                <w:rFonts w:ascii="Arial" w:cs="Arial" w:eastAsia="Arial" w:hAnsi="Arial"/>
                <w:sz w:val="13"/>
                <w:szCs w:val="13"/>
                <w:b w:val="1"/>
                <w:bCs w:val="1"/>
                <w:color w:val="auto"/>
              </w:rPr>
              <w:t xml:space="preserve">GAAP Rates </w:t>
            </w:r>
            <w:r>
              <w:rPr>
                <w:rFonts w:ascii="Arial" w:cs="Arial" w:eastAsia="Arial" w:hAnsi="Arial"/>
                <w:sz w:val="17"/>
                <w:szCs w:val="17"/>
                <w:b w:val="1"/>
                <w:bCs w:val="1"/>
                <w:color w:val="auto"/>
                <w:vertAlign w:val="superscript"/>
              </w:rPr>
              <w:t>5</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Maturity (years)</w:t>
            </w: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Arial" w:cs="Arial" w:eastAsia="Arial" w:hAnsi="Arial"/>
                <w:sz w:val="14"/>
                <w:szCs w:val="14"/>
                <w:color w:val="auto"/>
              </w:rPr>
              <w:t>Unsecured Debt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73.63 %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4.17 %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auto"/>
              </w:rPr>
              <w:t>4.28 %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Arial" w:cs="Arial" w:eastAsia="Arial" w:hAnsi="Arial"/>
                <w:sz w:val="14"/>
                <w:szCs w:val="14"/>
                <w:color w:val="auto"/>
              </w:rPr>
              <w:t>Secured Debt</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26.37 %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3.68 %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4.16 %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4.04 %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auto"/>
              </w:rPr>
              <w:t>4.25 %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519"/>
        </w:trPr>
        <w:tc>
          <w:tcPr>
            <w:tcW w:w="3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FLOATING AND FIXED RATE DEBT ANALYSIS</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Weighted Average</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 of Total Debt</w:t>
            </w: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Stated Rates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9"/>
              <w:spacing w:after="0" w:line="185" w:lineRule="exact"/>
              <w:rPr>
                <w:sz w:val="20"/>
                <w:szCs w:val="20"/>
                <w:color w:val="auto"/>
              </w:rPr>
            </w:pPr>
            <w:r>
              <w:rPr>
                <w:rFonts w:ascii="Arial" w:cs="Arial" w:eastAsia="Arial" w:hAnsi="Arial"/>
                <w:sz w:val="13"/>
                <w:szCs w:val="13"/>
                <w:b w:val="1"/>
                <w:bCs w:val="1"/>
                <w:color w:val="auto"/>
              </w:rPr>
              <w:t xml:space="preserve">GAAP Rates </w:t>
            </w:r>
            <w:r>
              <w:rPr>
                <w:rFonts w:ascii="Arial" w:cs="Arial" w:eastAsia="Arial" w:hAnsi="Arial"/>
                <w:sz w:val="17"/>
                <w:szCs w:val="17"/>
                <w:b w:val="1"/>
                <w:bCs w:val="1"/>
                <w:color w:val="auto"/>
                <w:vertAlign w:val="superscript"/>
              </w:rPr>
              <w:t>5</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Maturity (years)</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Arial" w:cs="Arial" w:eastAsia="Arial" w:hAnsi="Arial"/>
                <w:sz w:val="14"/>
                <w:szCs w:val="14"/>
                <w:color w:val="auto"/>
              </w:rPr>
              <w:t xml:space="preserve">Floating Rate Debt </w:t>
            </w:r>
            <w:r>
              <w:rPr>
                <w:rFonts w:ascii="Arial" w:cs="Arial" w:eastAsia="Arial" w:hAnsi="Arial"/>
                <w:sz w:val="18"/>
                <w:szCs w:val="18"/>
                <w:color w:val="auto"/>
                <w:vertAlign w:val="superscript"/>
              </w:rPr>
              <w:t>3</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7.40 %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5.91 %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auto"/>
              </w:rPr>
              <w:t>6.04 %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1"/>
        </w:trPr>
        <w:tc>
          <w:tcPr>
            <w:tcW w:w="260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Fixed Rate Debt </w:t>
            </w:r>
            <w:r>
              <w:rPr>
                <w:rFonts w:ascii="Arial" w:cs="Arial" w:eastAsia="Arial" w:hAnsi="Arial"/>
                <w:sz w:val="18"/>
                <w:szCs w:val="18"/>
                <w:color w:val="auto"/>
                <w:vertAlign w:val="superscript"/>
              </w:rPr>
              <w:t>4, 6</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92.60 %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3.89 %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4.11 %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4.04 %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auto"/>
              </w:rPr>
              <w:t>4.25 %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Excludes unconsolidated joint ventures. For information on BXP’s share of unconsolidated joint venture debt, see page 36.</w:t>
      </w:r>
    </w:p>
    <w:p>
      <w:pPr>
        <w:spacing w:after="0" w:line="18" w:lineRule="exact"/>
        <w:rPr>
          <w:sz w:val="20"/>
          <w:szCs w:val="20"/>
          <w:color w:val="auto"/>
        </w:rPr>
      </w:pPr>
    </w:p>
    <w:p>
      <w:pPr>
        <w:ind w:left="80" w:right="60" w:hanging="72"/>
        <w:spacing w:after="0" w:line="234" w:lineRule="auto"/>
        <w:tabs>
          <w:tab w:leader="none" w:pos="78"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the mortgage loan collateralized by Santa Monica Business Park. On October 8, 2024, the Company modified the mortgage loan which included, among other things, extending the maturity date to October 8, 2028.</w:t>
      </w:r>
    </w:p>
    <w:p>
      <w:pPr>
        <w:spacing w:after="0" w:line="14" w:lineRule="exact"/>
        <w:rPr>
          <w:sz w:val="20"/>
          <w:szCs w:val="20"/>
          <w:color w:val="auto"/>
        </w:rPr>
      </w:pPr>
    </w:p>
    <w:p>
      <w:pPr>
        <w:ind w:left="80" w:right="140" w:hanging="72"/>
        <w:spacing w:after="0" w:line="267" w:lineRule="auto"/>
        <w:tabs>
          <w:tab w:leader="none" w:pos="78" w:val="left"/>
        </w:tabs>
        <w:numPr>
          <w:ilvl w:val="0"/>
          <w:numId w:val="73"/>
        </w:numPr>
        <w:rPr>
          <w:rFonts w:ascii="Arial" w:cs="Arial" w:eastAsia="Arial" w:hAnsi="Arial"/>
          <w:sz w:val="9"/>
          <w:szCs w:val="9"/>
          <w:color w:val="auto"/>
        </w:rPr>
      </w:pPr>
      <w:r>
        <w:rPr>
          <w:rFonts w:ascii="Arial" w:cs="Arial" w:eastAsia="Arial" w:hAnsi="Arial"/>
          <w:sz w:val="14"/>
          <w:szCs w:val="14"/>
          <w:color w:val="auto"/>
        </w:rPr>
        <w:t>The $500.0 million unsecured commercial paper program is backstopped by available capacity under the unsecured credit facility. As such, the Company intends to maintain, at a minimum, availability under its unsecured credit facility in an amount equal to the amount of commercial paper notes outstanding. The term of the notes issued under the unsecured commercial paper program vary but may not exceed one year from the date of issuance. The commercial paper notes are included in the Company’s floating rate debt statistics. The weighted average interest rate of the commercial paper notes outstanding at September 30, 2024 was approximately 5.22% per annum and have a weighted-average maturity of 34 days from the date of issuance.</w:t>
      </w:r>
    </w:p>
    <w:p>
      <w:pPr>
        <w:spacing w:after="0" w:line="9" w:lineRule="exact"/>
        <w:rPr>
          <w:sz w:val="20"/>
          <w:szCs w:val="20"/>
          <w:color w:val="auto"/>
        </w:rPr>
      </w:pPr>
    </w:p>
    <w:p>
      <w:pPr>
        <w:jc w:val="both"/>
        <w:ind w:left="80" w:right="360" w:hanging="72"/>
        <w:spacing w:after="0" w:line="248" w:lineRule="auto"/>
        <w:tabs>
          <w:tab w:leader="none" w:pos="78"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The $100.0 million 2024 Unsecured Term Loan is subject to an interest rate swap contract that effectively fix Term SOFR, the reference rate for the 2024 Unsecured Term Loan, at a fixed rate of 2.688% for the period ending on April 1, 2025. The $100.0 million unsecured term loan has three one-year extension options (subject to customary conditions).</w:t>
      </w:r>
    </w:p>
    <w:p>
      <w:pPr>
        <w:spacing w:after="0" w:line="7" w:lineRule="exact"/>
        <w:rPr>
          <w:sz w:val="20"/>
          <w:szCs w:val="20"/>
          <w:color w:val="auto"/>
        </w:rPr>
      </w:pPr>
    </w:p>
    <w:p>
      <w:pPr>
        <w:ind w:left="80" w:right="240" w:hanging="72"/>
        <w:spacing w:after="0" w:line="238" w:lineRule="auto"/>
        <w:tabs>
          <w:tab w:leader="none" w:pos="78"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and adjustments required to reflect loans and swaps at their fair values upon consolidation.</w:t>
      </w:r>
    </w:p>
    <w:p>
      <w:pPr>
        <w:spacing w:after="0" w:line="13" w:lineRule="exact"/>
        <w:rPr>
          <w:sz w:val="20"/>
          <w:szCs w:val="20"/>
          <w:color w:val="auto"/>
        </w:rPr>
      </w:pPr>
    </w:p>
    <w:p>
      <w:pPr>
        <w:ind w:left="80" w:hanging="72"/>
        <w:spacing w:after="0"/>
        <w:tabs>
          <w:tab w:leader="none" w:pos="80" w:val="left"/>
        </w:tabs>
        <w:numPr>
          <w:ilvl w:val="0"/>
          <w:numId w:val="76"/>
        </w:numPr>
        <w:rPr>
          <w:rFonts w:ascii="Arial" w:cs="Arial" w:eastAsia="Arial" w:hAnsi="Arial"/>
          <w:sz w:val="9"/>
          <w:szCs w:val="9"/>
          <w:color w:val="auto"/>
        </w:rPr>
      </w:pPr>
      <w:r>
        <w:rPr>
          <w:rFonts w:ascii="Arial" w:cs="Arial" w:eastAsia="Arial" w:hAnsi="Arial"/>
          <w:sz w:val="14"/>
          <w:szCs w:val="14"/>
          <w:color w:val="auto"/>
        </w:rPr>
        <w:t>The Fixed Rate Debt includes the effects of hedging transactions.</w:t>
      </w:r>
    </w:p>
    <w:p>
      <w:pPr>
        <w:sectPr>
          <w:pgSz w:w="11900" w:h="16838" w:orient="portrait"/>
          <w:cols w:equalWidth="0" w:num="1">
            <w:col w:w="11240"/>
          </w:cols>
          <w:pgMar w:left="320" w:top="265" w:right="339" w:bottom="1440" w:gutter="0" w:footer="0" w:header="0"/>
        </w:sectPr>
      </w:pPr>
    </w:p>
    <w:p>
      <w:pPr>
        <w:spacing w:after="0" w:line="16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265" w:right="339" w:bottom="1440" w:gutter="0" w:footer="0" w:header="0"/>
          <w:type w:val="continuous"/>
        </w:sectPr>
      </w:pPr>
    </w:p>
    <w:bookmarkStart w:id="38" w:name="page39"/>
    <w:bookmarkEnd w:id="38"/>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Senior unsecured debt covenant compliance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the fourth quarter of 2002, the Company’s Operating Partnership (Boston Properties Limited Partnership) received investment grade ratings on its senior unsecured debt securities and thereafter issued unsecured notes. The notes were issued under an indenture, dated as of December 13, 2002, by and between Boston Properties Limited Partnership and The Bank of New York Mellon Trust Company, N.A., as trustee, as supplemented from time to time (the “Indenture”), which, among other things, requires us to comply with the following limitations on incurrence of debt: Limitation on Outstanding Debt; Limitation on Secured Debt; Ratio of Annualized Consolidated EBITDA to Annualized Interest Expense; and Maintenance of Unencumbered Assets. Compliance with these restrictive covenants requires us to apply specialized terms the meanings of which are described in detail in our filings with the SEC, and to calculate ratios in the manner prescribed by the Indenture.</w:t>
      </w:r>
    </w:p>
    <w:p>
      <w:pPr>
        <w:spacing w:after="0" w:line="16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This section presents such ratios as of September 30, 2024 to show that the Company’s Operating Partnership was in compliance with the terms of the Indenture, which has been filed with the SEC. Management is not presenting these ratios for any other purpose or for any other period, and is not intending for these measures to otherwise provide information to investors about the Company’s financial condition or results of operations. Investors should not rely on these measures other than for purposes of testing our compliance with the Indenture.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 RATIOS AND RELATED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jc w:val="center"/>
              <w:ind w:right="48"/>
              <w:spacing w:after="0"/>
              <w:rPr>
                <w:sz w:val="20"/>
                <w:szCs w:val="20"/>
                <w:color w:val="auto"/>
              </w:rPr>
            </w:pPr>
            <w:r>
              <w:rPr>
                <w:rFonts w:ascii="Arial" w:cs="Arial" w:eastAsia="Arial" w:hAnsi="Arial"/>
                <w:sz w:val="14"/>
                <w:szCs w:val="14"/>
                <w:b w:val="1"/>
                <w:bCs w:val="1"/>
                <w:color w:val="auto"/>
              </w:rPr>
              <w:t>Senior Notes Issued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Senior Notes Issued</w:t>
            </w:r>
          </w:p>
        </w:tc>
      </w:tr>
      <w:tr>
        <w:trPr>
          <w:trHeight w:val="139"/>
        </w:trPr>
        <w:tc>
          <w:tcPr>
            <w:tcW w:w="6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Prior to December 4,</w:t>
            </w:r>
          </w:p>
        </w:tc>
        <w:tc>
          <w:tcPr>
            <w:tcW w:w="1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On or After December</w:t>
            </w:r>
          </w:p>
        </w:tc>
      </w:tr>
      <w:tr>
        <w:trPr>
          <w:trHeight w:val="197"/>
        </w:trPr>
        <w:tc>
          <w:tcPr>
            <w:tcW w:w="608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2017</w:t>
            </w:r>
          </w:p>
        </w:tc>
        <w:tc>
          <w:tcPr>
            <w:tcW w:w="17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4, 2017</w:t>
            </w:r>
          </w:p>
        </w:tc>
      </w:tr>
      <w:tr>
        <w:trPr>
          <w:trHeight w:val="195"/>
        </w:trPr>
        <w:tc>
          <w:tcPr>
            <w:tcW w:w="6080" w:type="dxa"/>
            <w:vAlign w:val="bottom"/>
          </w:tcPr>
          <w:p>
            <w:pPr>
              <w:spacing w:after="0"/>
              <w:rPr>
                <w:sz w:val="16"/>
                <w:szCs w:val="16"/>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Test</w:t>
            </w:r>
          </w:p>
        </w:tc>
        <w:tc>
          <w:tcPr>
            <w:tcW w:w="160" w:type="dxa"/>
            <w:vAlign w:val="bottom"/>
          </w:tcPr>
          <w:p>
            <w:pPr>
              <w:spacing w:after="0"/>
              <w:rPr>
                <w:sz w:val="16"/>
                <w:szCs w:val="16"/>
                <w:color w:val="auto"/>
              </w:rPr>
            </w:pPr>
          </w:p>
        </w:tc>
        <w:tc>
          <w:tcPr>
            <w:tcW w:w="348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Actual</w:t>
            </w:r>
          </w:p>
        </w:tc>
      </w:tr>
      <w:tr>
        <w:trPr>
          <w:trHeight w:val="202"/>
        </w:trPr>
        <w:tc>
          <w:tcPr>
            <w:tcW w:w="6080" w:type="dxa"/>
            <w:vAlign w:val="bottom"/>
          </w:tcPr>
          <w:p>
            <w:pPr>
              <w:spacing w:after="0" w:line="202" w:lineRule="exact"/>
              <w:rPr>
                <w:sz w:val="20"/>
                <w:szCs w:val="20"/>
                <w:color w:val="auto"/>
              </w:rPr>
            </w:pPr>
            <w:r>
              <w:rPr>
                <w:rFonts w:ascii="Arial" w:cs="Arial" w:eastAsia="Arial" w:hAnsi="Arial"/>
                <w:sz w:val="14"/>
                <w:szCs w:val="14"/>
                <w:color w:val="auto"/>
              </w:rPr>
              <w:t xml:space="preserve">Total Outstanding Debt/Total Assets </w:t>
            </w:r>
            <w:r>
              <w:rPr>
                <w:rFonts w:ascii="Arial" w:cs="Arial" w:eastAsia="Arial" w:hAnsi="Arial"/>
                <w:sz w:val="18"/>
                <w:szCs w:val="18"/>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Less than 60%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48.4 %</w:t>
            </w:r>
          </w:p>
        </w:tc>
        <w:tc>
          <w:tcPr>
            <w:tcW w:w="1720" w:type="dxa"/>
            <w:vAlign w:val="bottom"/>
          </w:tcPr>
          <w:p>
            <w:pPr>
              <w:jc w:val="right"/>
              <w:spacing w:after="0"/>
              <w:rPr>
                <w:sz w:val="20"/>
                <w:szCs w:val="20"/>
                <w:color w:val="auto"/>
              </w:rPr>
            </w:pPr>
            <w:r>
              <w:rPr>
                <w:rFonts w:ascii="Arial" w:cs="Arial" w:eastAsia="Arial" w:hAnsi="Arial"/>
                <w:sz w:val="14"/>
                <w:szCs w:val="14"/>
                <w:color w:val="auto"/>
              </w:rPr>
              <w:t>45.6 %</w:t>
            </w:r>
          </w:p>
        </w:tc>
      </w:tr>
      <w:tr>
        <w:trPr>
          <w:trHeight w:val="190"/>
        </w:trPr>
        <w:tc>
          <w:tcPr>
            <w:tcW w:w="6080" w:type="dxa"/>
            <w:vAlign w:val="bottom"/>
          </w:tcPr>
          <w:p>
            <w:pPr>
              <w:spacing w:after="0"/>
              <w:rPr>
                <w:sz w:val="20"/>
                <w:szCs w:val="20"/>
                <w:color w:val="auto"/>
              </w:rPr>
            </w:pPr>
            <w:r>
              <w:rPr>
                <w:rFonts w:ascii="Arial" w:cs="Arial" w:eastAsia="Arial" w:hAnsi="Arial"/>
                <w:sz w:val="14"/>
                <w:szCs w:val="14"/>
                <w:color w:val="auto"/>
              </w:rPr>
              <w:t>Secured Debt/Total Assets</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Less than 50%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15.9 %</w:t>
            </w:r>
          </w:p>
        </w:tc>
        <w:tc>
          <w:tcPr>
            <w:tcW w:w="1720" w:type="dxa"/>
            <w:vAlign w:val="bottom"/>
          </w:tcPr>
          <w:p>
            <w:pPr>
              <w:jc w:val="right"/>
              <w:spacing w:after="0"/>
              <w:rPr>
                <w:sz w:val="20"/>
                <w:szCs w:val="20"/>
                <w:color w:val="auto"/>
              </w:rPr>
            </w:pPr>
            <w:r>
              <w:rPr>
                <w:rFonts w:ascii="Arial" w:cs="Arial" w:eastAsia="Arial" w:hAnsi="Arial"/>
                <w:sz w:val="14"/>
                <w:szCs w:val="14"/>
                <w:color w:val="auto"/>
              </w:rPr>
              <w:t>15.0 %</w:t>
            </w:r>
          </w:p>
        </w:tc>
      </w:tr>
      <w:tr>
        <w:trPr>
          <w:trHeight w:val="203"/>
        </w:trPr>
        <w:tc>
          <w:tcPr>
            <w:tcW w:w="6080" w:type="dxa"/>
            <w:vAlign w:val="bottom"/>
          </w:tcPr>
          <w:p>
            <w:pPr>
              <w:spacing w:after="0"/>
              <w:rPr>
                <w:sz w:val="20"/>
                <w:szCs w:val="20"/>
                <w:color w:val="auto"/>
              </w:rPr>
            </w:pPr>
            <w:r>
              <w:rPr>
                <w:rFonts w:ascii="Arial" w:cs="Arial" w:eastAsia="Arial" w:hAnsi="Arial"/>
                <w:sz w:val="14"/>
                <w:szCs w:val="14"/>
                <w:color w:val="auto"/>
              </w:rPr>
              <w:t>Interest Coverage (Annualized Consolidated EBITDA to Annualized Interest Expense)</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Greater than 1.50x</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3.00</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3.00</w:t>
            </w:r>
          </w:p>
        </w:tc>
      </w:tr>
      <w:tr>
        <w:trPr>
          <w:trHeight w:val="203"/>
        </w:trPr>
        <w:tc>
          <w:tcPr>
            <w:tcW w:w="6080" w:type="dxa"/>
            <w:vAlign w:val="bottom"/>
          </w:tcPr>
          <w:p>
            <w:pPr>
              <w:spacing w:after="0"/>
              <w:rPr>
                <w:sz w:val="20"/>
                <w:szCs w:val="20"/>
                <w:color w:val="auto"/>
              </w:rPr>
            </w:pPr>
            <w:r>
              <w:rPr>
                <w:rFonts w:ascii="Arial" w:cs="Arial" w:eastAsia="Arial" w:hAnsi="Arial"/>
                <w:sz w:val="14"/>
                <w:szCs w:val="14"/>
                <w:color w:val="auto"/>
              </w:rPr>
              <w:t>Unencumbered Assets/ Unsecured Debt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Greater than 150%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227.9 %</w:t>
            </w:r>
          </w:p>
        </w:tc>
        <w:tc>
          <w:tcPr>
            <w:tcW w:w="1720" w:type="dxa"/>
            <w:vAlign w:val="bottom"/>
          </w:tcPr>
          <w:p>
            <w:pPr>
              <w:jc w:val="right"/>
              <w:spacing w:after="0"/>
              <w:rPr>
                <w:sz w:val="20"/>
                <w:szCs w:val="20"/>
                <w:color w:val="auto"/>
              </w:rPr>
            </w:pPr>
            <w:r>
              <w:rPr>
                <w:rFonts w:ascii="Arial" w:cs="Arial" w:eastAsia="Arial" w:hAnsi="Arial"/>
                <w:sz w:val="14"/>
                <w:szCs w:val="14"/>
                <w:color w:val="auto"/>
              </w:rPr>
              <w:t>245.0 %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40" w:lineRule="exact"/>
        <w:rPr>
          <w:sz w:val="20"/>
          <w:szCs w:val="20"/>
          <w:color w:val="auto"/>
        </w:rPr>
      </w:pPr>
    </w:p>
    <w:p>
      <w:pPr>
        <w:ind w:left="80" w:hanging="72"/>
        <w:spacing w:after="0"/>
        <w:tabs>
          <w:tab w:leader="none" w:pos="80" w:val="left"/>
        </w:tabs>
        <w:numPr>
          <w:ilvl w:val="0"/>
          <w:numId w:val="77"/>
        </w:numPr>
        <w:rPr>
          <w:rFonts w:ascii="Arial" w:cs="Arial" w:eastAsia="Arial" w:hAnsi="Arial"/>
          <w:sz w:val="9"/>
          <w:szCs w:val="9"/>
          <w:color w:val="auto"/>
        </w:rPr>
      </w:pPr>
      <w:r>
        <w:rPr>
          <w:rFonts w:ascii="Arial" w:cs="Arial" w:eastAsia="Arial" w:hAnsi="Arial"/>
          <w:sz w:val="14"/>
          <w:szCs w:val="14"/>
          <w:color w:val="auto"/>
        </w:rPr>
        <w:t>Capitalized Property Value for senior notes issued prior to December 4, 2017 is determined for each property and is the greater of (A) annualized EBITDA capitalized at an</w:t>
      </w:r>
    </w:p>
    <w:p>
      <w:pPr>
        <w:spacing w:after="0" w:line="28" w:lineRule="exact"/>
        <w:rPr>
          <w:rFonts w:ascii="Arial" w:cs="Arial" w:eastAsia="Arial" w:hAnsi="Arial"/>
          <w:sz w:val="9"/>
          <w:szCs w:val="9"/>
          <w:color w:val="auto"/>
        </w:rPr>
      </w:pPr>
    </w:p>
    <w:p>
      <w:pPr>
        <w:ind w:left="80" w:right="80"/>
        <w:spacing w:after="0" w:line="272" w:lineRule="auto"/>
        <w:rPr>
          <w:rFonts w:ascii="Arial" w:cs="Arial" w:eastAsia="Arial" w:hAnsi="Arial"/>
          <w:sz w:val="9"/>
          <w:szCs w:val="9"/>
          <w:color w:val="auto"/>
        </w:rPr>
      </w:pPr>
      <w:r>
        <w:rPr>
          <w:rFonts w:ascii="Arial" w:cs="Arial" w:eastAsia="Arial" w:hAnsi="Arial"/>
          <w:sz w:val="14"/>
          <w:szCs w:val="14"/>
          <w:color w:val="auto"/>
        </w:rPr>
        <w:t>8.0% rate for CBD properties and a 9.0% rate for non-CBD properties, and (B) the undepreciated book value as determined under GAAP. Capitalized property value for senior notes issued on or after December 4, 2017 is determined for each property and is the greater of (x) annualized EBITDA capitalized at 7.0% and (y) the undepreciated book value as determined under GAAP.</w:t>
      </w:r>
    </w:p>
    <w:p>
      <w:pPr>
        <w:sectPr>
          <w:pgSz w:w="11900" w:h="16838" w:orient="portrait"/>
          <w:cols w:equalWidth="0" w:num="1">
            <w:col w:w="11240"/>
          </w:cols>
          <w:pgMar w:left="320" w:top="265" w:right="339" w:bottom="916" w:gutter="0" w:footer="0" w:header="0"/>
        </w:sectPr>
      </w:pPr>
    </w:p>
    <w:p>
      <w:pPr>
        <w:spacing w:after="0" w:line="200" w:lineRule="exact"/>
        <w:rPr>
          <w:sz w:val="20"/>
          <w:szCs w:val="20"/>
          <w:color w:val="auto"/>
        </w:rPr>
      </w:pPr>
    </w:p>
    <w:p>
      <w:pPr>
        <w:spacing w:after="0" w:line="29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265" w:right="339" w:bottom="916"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Q3 2024</w:t>
            </w:r>
          </w:p>
        </w:tc>
        <w:tc>
          <w:tcPr>
            <w:tcW w:w="0" w:type="dxa"/>
            <w:vAlign w:val="bottom"/>
          </w:tcPr>
          <w:p>
            <w:pPr>
              <w:spacing w:after="0"/>
              <w:rPr>
                <w:sz w:val="1"/>
                <w:szCs w:val="1"/>
                <w:color w:val="auto"/>
              </w:rPr>
            </w:pPr>
          </w:p>
        </w:tc>
      </w:tr>
      <w:tr>
        <w:trPr>
          <w:trHeight w:val="231"/>
        </w:trPr>
        <w:tc>
          <w:tcPr>
            <w:tcW w:w="8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0497F"/>
              </w:rPr>
              <w:t>Net Debt to EBITDA</w:t>
            </w:r>
            <w:r>
              <w:rPr>
                <w:rFonts w:ascii="Arial" w:cs="Arial" w:eastAsia="Arial" w:hAnsi="Arial"/>
                <w:sz w:val="14"/>
                <w:szCs w:val="14"/>
                <w:b w:val="1"/>
                <w:bCs w:val="1"/>
                <w:i w:val="1"/>
                <w:iCs w:val="1"/>
                <w:color w:val="00497F"/>
              </w:rPr>
              <w:t>re</w:t>
            </w:r>
          </w:p>
        </w:tc>
        <w:tc>
          <w:tcPr>
            <w:tcW w:w="0" w:type="dxa"/>
            <w:vAlign w:val="bottom"/>
          </w:tcPr>
          <w:p>
            <w:pPr>
              <w:spacing w:after="0"/>
              <w:rPr>
                <w:sz w:val="1"/>
                <w:szCs w:val="1"/>
                <w:color w:val="auto"/>
              </w:rPr>
            </w:pPr>
          </w:p>
        </w:tc>
      </w:tr>
      <w:tr>
        <w:trPr>
          <w:trHeight w:val="613"/>
        </w:trPr>
        <w:tc>
          <w:tcPr>
            <w:tcW w:w="8480" w:type="dxa"/>
            <w:vAlign w:val="bottom"/>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Reconciliation of BXP’s Share of EBITDAre and BXP’s Share of EBITDAre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cash </w:t>
            </w:r>
            <w:r>
              <w:rPr>
                <w:rFonts w:ascii="Arial" w:cs="Arial" w:eastAsia="Arial" w:hAnsi="Arial"/>
                <w:sz w:val="18"/>
                <w:szCs w:val="18"/>
                <w:b w:val="1"/>
                <w:bCs w:val="1"/>
                <w:i w:val="1"/>
                <w:i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83,628</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79,615</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2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204"/>
        </w:trPr>
        <w:tc>
          <w:tcPr>
            <w:tcW w:w="8480" w:type="dxa"/>
            <w:vAlign w:val="bottom"/>
          </w:tcPr>
          <w:p>
            <w:pPr>
              <w:ind w:left="220"/>
              <w:spacing w:after="0"/>
              <w:rPr>
                <w:sz w:val="20"/>
                <w:szCs w:val="20"/>
                <w:color w:val="auto"/>
              </w:rPr>
            </w:pPr>
            <w:r>
              <w:rPr>
                <w:rFonts w:ascii="Arial" w:cs="Arial" w:eastAsia="Arial" w:hAnsi="Arial"/>
                <w:sz w:val="14"/>
                <w:szCs w:val="14"/>
                <w:color w:val="auto"/>
              </w:rPr>
              <w:t>Noncontrolling interest in property partnerships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108,452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163,194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149,642</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222,890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219,542</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Gains on sales of real estate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Loss from unconsolidated joint ventures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w:t>
            </w:r>
            <w:r>
              <w:rPr>
                <w:rFonts w:ascii="Arial" w:cs="Arial" w:eastAsia="Arial" w:hAnsi="Arial"/>
                <w:sz w:val="18"/>
                <w:szCs w:val="18"/>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33,081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32,679</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1" w:lineRule="exact"/>
              <w:rPr>
                <w:sz w:val="20"/>
                <w:szCs w:val="20"/>
                <w:color w:val="auto"/>
              </w:rPr>
            </w:pPr>
            <w:r>
              <w:rPr>
                <w:rFonts w:ascii="Arial" w:cs="Arial" w:eastAsia="Arial" w:hAnsi="Arial"/>
                <w:sz w:val="14"/>
                <w:szCs w:val="14"/>
                <w:color w:val="auto"/>
              </w:rPr>
              <w:t>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534,111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514,611</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80" w:type="dxa"/>
            <w:vAlign w:val="bottom"/>
          </w:tcPr>
          <w:p>
            <w:pPr>
              <w:ind w:left="220"/>
              <w:spacing w:after="0"/>
              <w:rPr>
                <w:sz w:val="20"/>
                <w:szCs w:val="20"/>
                <w:color w:val="auto"/>
              </w:rPr>
            </w:pPr>
            <w:r>
              <w:rPr>
                <w:rFonts w:ascii="Arial" w:cs="Arial" w:eastAsia="Arial" w:hAnsi="Arial"/>
                <w:sz w:val="14"/>
                <w:szCs w:val="14"/>
                <w:color w:val="auto"/>
              </w:rPr>
              <w:t>Partners’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consolidated joint ventures </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46,099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48,910</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1" w:lineRule="exact"/>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(A)</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488,012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465,701</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15,976</w:t>
            </w:r>
          </w:p>
        </w:tc>
        <w:tc>
          <w:tcPr>
            <w:tcW w:w="0" w:type="dxa"/>
            <w:vAlign w:val="bottom"/>
          </w:tcPr>
          <w:p>
            <w:pPr>
              <w:spacing w:after="0"/>
              <w:rPr>
                <w:sz w:val="1"/>
                <w:szCs w:val="1"/>
                <w:color w:val="auto"/>
              </w:rPr>
            </w:pPr>
          </w:p>
        </w:tc>
      </w:tr>
      <w:tr>
        <w:trPr>
          <w:trHeight w:val="21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straight-line ground rent expense adjustment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05"/>
        </w:trPr>
        <w:tc>
          <w:tcPr>
            <w:tcW w:w="8480" w:type="dxa"/>
            <w:vAlign w:val="bottom"/>
          </w:tcPr>
          <w:p>
            <w:pPr>
              <w:ind w:left="220"/>
              <w:spacing w:after="0" w:line="205" w:lineRule="exact"/>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3,216</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non-cash termination income adjustment (fair value lease amounts)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16,783</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201"/>
        </w:trPr>
        <w:tc>
          <w:tcPr>
            <w:tcW w:w="8480" w:type="dxa"/>
            <w:vAlign w:val="bottom"/>
          </w:tcPr>
          <w:p>
            <w:pPr>
              <w:ind w:left="220"/>
              <w:spacing w:after="0" w:line="201" w:lineRule="exact"/>
              <w:rPr>
                <w:sz w:val="20"/>
                <w:szCs w:val="20"/>
                <w:color w:val="auto"/>
              </w:rPr>
            </w:pPr>
            <w:r>
              <w:rPr>
                <w:rFonts w:ascii="Arial" w:cs="Arial" w:eastAsia="Arial" w:hAnsi="Arial"/>
                <w:sz w:val="14"/>
                <w:szCs w:val="14"/>
                <w:color w:val="auto"/>
              </w:rPr>
              <w:t xml:space="preserve">BXP’s Share of amortization and accretion related to sales type lease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line="196" w:lineRule="exact"/>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469,787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466,203</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w:t>
            </w:r>
            <w:r>
              <w:rPr>
                <w:rFonts w:ascii="Arial" w:cs="Arial" w:eastAsia="Arial" w:hAnsi="Arial"/>
                <w:sz w:val="14"/>
                <w:szCs w:val="14"/>
                <w:b w:val="1"/>
                <w:bCs w:val="1"/>
                <w:color w:val="auto"/>
              </w:rPr>
              <w:t>(A x 4)</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480" w:type="dxa"/>
            <w:vAlign w:val="bottom"/>
            <w:vMerge w:val="continue"/>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1,952,048</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1,862,804</w:t>
            </w:r>
          </w:p>
        </w:tc>
        <w:tc>
          <w:tcPr>
            <w:tcW w:w="0" w:type="dxa"/>
            <w:vAlign w:val="bottom"/>
          </w:tcPr>
          <w:p>
            <w:pPr>
              <w:spacing w:after="0"/>
              <w:rPr>
                <w:sz w:val="1"/>
                <w:szCs w:val="1"/>
                <w:color w:val="auto"/>
              </w:rPr>
            </w:pPr>
          </w:p>
        </w:tc>
      </w:tr>
      <w:tr>
        <w:trPr>
          <w:trHeight w:val="730"/>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Reconciliation of BXP’s Share of Net Debt </w:t>
            </w:r>
            <w:r>
              <w:rPr>
                <w:rFonts w:ascii="Arial" w:cs="Arial" w:eastAsia="Arial" w:hAnsi="Arial"/>
                <w:sz w:val="18"/>
                <w:szCs w:val="18"/>
                <w:b w:val="1"/>
                <w:bCs w:val="1"/>
                <w:i w:val="1"/>
                <w:i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16,215,246</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15,367,474</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1,420,475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685,376</w:t>
            </w:r>
          </w:p>
        </w:tc>
        <w:tc>
          <w:tcPr>
            <w:tcW w:w="0" w:type="dxa"/>
            <w:vAlign w:val="bottom"/>
          </w:tcPr>
          <w:p>
            <w:pPr>
              <w:spacing w:after="0"/>
              <w:rPr>
                <w:sz w:val="1"/>
                <w:szCs w:val="1"/>
                <w:color w:val="auto"/>
              </w:rPr>
            </w:pPr>
          </w:p>
        </w:tc>
      </w:tr>
      <w:tr>
        <w:trPr>
          <w:trHeight w:val="204"/>
        </w:trPr>
        <w:tc>
          <w:tcPr>
            <w:tcW w:w="8480" w:type="dxa"/>
            <w:vAlign w:val="bottom"/>
          </w:tcPr>
          <w:p>
            <w:pPr>
              <w:ind w:left="220"/>
              <w:spacing w:after="0"/>
              <w:rPr>
                <w:sz w:val="20"/>
                <w:szCs w:val="20"/>
                <w:color w:val="auto"/>
              </w:rPr>
            </w:pPr>
            <w:r>
              <w:rPr>
                <w:rFonts w:ascii="Arial" w:cs="Arial" w:eastAsia="Arial" w:hAnsi="Arial"/>
                <w:sz w:val="14"/>
                <w:szCs w:val="14"/>
                <w:color w:val="auto"/>
              </w:rPr>
              <w:t>Cash held in escrow for 1031 exchange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4"/>
                <w:szCs w:val="14"/>
                <w:color w:val="auto"/>
              </w:rPr>
              <w:t xml:space="preserve">Net debt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14,794,771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14,682,098</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unconsolidated joint venture debt </w:t>
            </w:r>
            <w:r>
              <w:rPr>
                <w:rFonts w:ascii="Arial" w:cs="Arial" w:eastAsia="Arial" w:hAnsi="Arial"/>
                <w:sz w:val="18"/>
                <w:szCs w:val="18"/>
                <w:color w:val="auto"/>
                <w:vertAlign w:val="superscript"/>
              </w:rPr>
              <w:t>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1,382,412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1,379,131</w:t>
            </w:r>
          </w:p>
        </w:tc>
        <w:tc>
          <w:tcPr>
            <w:tcW w:w="0" w:type="dxa"/>
            <w:vAlign w:val="bottom"/>
          </w:tcPr>
          <w:p>
            <w:pPr>
              <w:spacing w:after="0"/>
              <w:rPr>
                <w:sz w:val="1"/>
                <w:szCs w:val="1"/>
                <w:color w:val="auto"/>
              </w:rPr>
            </w:pPr>
          </w:p>
        </w:tc>
      </w:tr>
      <w:tr>
        <w:trPr>
          <w:trHeight w:val="190"/>
        </w:trPr>
        <w:tc>
          <w:tcPr>
            <w:tcW w:w="8480" w:type="dxa"/>
            <w:vAlign w:val="bottom"/>
          </w:tcPr>
          <w:p>
            <w:pPr>
              <w:ind w:left="220"/>
              <w:spacing w:after="0"/>
              <w:rPr>
                <w:sz w:val="20"/>
                <w:szCs w:val="20"/>
                <w:color w:val="auto"/>
              </w:rPr>
            </w:pPr>
            <w:r>
              <w:rPr>
                <w:rFonts w:ascii="Arial" w:cs="Arial" w:eastAsia="Arial" w:hAnsi="Arial"/>
                <w:sz w:val="14"/>
                <w:szCs w:val="14"/>
                <w:color w:val="auto"/>
              </w:rPr>
              <w:t>Partners’ share of cash and cash equivalents from consolidated joint ventures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140,176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163,840</w:t>
            </w:r>
          </w:p>
        </w:tc>
        <w:tc>
          <w:tcPr>
            <w:tcW w:w="0" w:type="dxa"/>
            <w:vAlign w:val="bottom"/>
          </w:tcPr>
          <w:p>
            <w:pPr>
              <w:spacing w:after="0"/>
              <w:rPr>
                <w:sz w:val="1"/>
                <w:szCs w:val="1"/>
                <w:color w:val="auto"/>
              </w:rPr>
            </w:pPr>
          </w:p>
        </w:tc>
      </w:tr>
      <w:tr>
        <w:trPr>
          <w:trHeight w:val="202"/>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cash and cash equivalents from unconsolidated joint ventures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103,576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97,518</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Partners’ share of consolidated joint venture debt </w:t>
            </w:r>
            <w:r>
              <w:rPr>
                <w:rFonts w:ascii="Arial" w:cs="Arial" w:eastAsia="Arial" w:hAnsi="Arial"/>
                <w:sz w:val="18"/>
                <w:szCs w:val="18"/>
                <w:color w:val="auto"/>
                <w:vertAlign w:val="superscript"/>
              </w:rPr>
              <w:t>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1,361,869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1,361,372</w:t>
            </w:r>
          </w:p>
        </w:tc>
        <w:tc>
          <w:tcPr>
            <w:tcW w:w="0" w:type="dxa"/>
            <w:vAlign w:val="bottom"/>
          </w:tcPr>
          <w:p>
            <w:pPr>
              <w:spacing w:after="0"/>
              <w:rPr>
                <w:sz w:val="1"/>
                <w:szCs w:val="1"/>
                <w:color w:val="auto"/>
              </w:rPr>
            </w:pPr>
          </w:p>
        </w:tc>
      </w:tr>
      <w:tr>
        <w:trPr>
          <w:trHeight w:val="194"/>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related party note receivables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30,500</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30,500</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BXP’s Share of Net Debt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14,821,414</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14,735,679</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0"/>
        </w:trPr>
        <w:tc>
          <w:tcPr>
            <w:tcW w:w="8480" w:type="dxa"/>
            <w:vAlign w:val="bottom"/>
          </w:tcPr>
          <w:p>
            <w:pPr>
              <w:ind w:left="20"/>
              <w:spacing w:after="0"/>
              <w:rPr>
                <w:sz w:val="20"/>
                <w:szCs w:val="20"/>
                <w:color w:val="auto"/>
              </w:rPr>
            </w:pPr>
            <w:r>
              <w:rPr>
                <w:rFonts w:ascii="Arial" w:cs="Arial" w:eastAsia="Arial" w:hAnsi="Arial"/>
                <w:sz w:val="14"/>
                <w:szCs w:val="14"/>
                <w:color w:val="auto"/>
              </w:rPr>
              <w:t>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4"/>
                <w:szCs w:val="14"/>
                <w:b w:val="1"/>
                <w:bCs w:val="1"/>
                <w:color w:val="auto"/>
              </w:rPr>
              <w:t>[B ÷ (A x 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365"/>
        </w:trPr>
        <w:tc>
          <w:tcPr>
            <w:tcW w:w="8480" w:type="dxa"/>
            <w:vAlign w:val="bottom"/>
          </w:tcPr>
          <w:p>
            <w:pPr>
              <w:spacing w:after="0"/>
              <w:rPr>
                <w:sz w:val="20"/>
                <w:szCs w:val="20"/>
                <w:color w:val="auto"/>
              </w:rPr>
            </w:pPr>
            <w:r>
              <w:rPr>
                <w:rFonts w:ascii="Arial" w:cs="Arial" w:eastAsia="Arial" w:hAnsi="Arial"/>
                <w:sz w:val="14"/>
                <w:szCs w:val="14"/>
                <w:color w:val="auto"/>
              </w:rPr>
              <w:t>_____________</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-7838440</wp:posOffset>
            </wp:positionV>
            <wp:extent cx="25717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ind w:left="80" w:hanging="72"/>
        <w:spacing w:after="0" w:line="222" w:lineRule="auto"/>
        <w:tabs>
          <w:tab w:leader="none" w:pos="8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ind w:left="80" w:hanging="72"/>
        <w:spacing w:after="0" w:line="208" w:lineRule="auto"/>
        <w:tabs>
          <w:tab w:leader="none" w:pos="8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For disclosures related to the calculation of BXP’s share from unconsolidated joint ventures for the three months ended September 30, 2024, see pages 36 and 65.</w:t>
      </w:r>
    </w:p>
    <w:p>
      <w:pPr>
        <w:spacing w:after="0" w:line="12" w:lineRule="exact"/>
        <w:rPr>
          <w:rFonts w:ascii="Arial" w:cs="Arial" w:eastAsia="Arial" w:hAnsi="Arial"/>
          <w:sz w:val="19"/>
          <w:szCs w:val="19"/>
          <w:color w:val="auto"/>
          <w:vertAlign w:val="superscript"/>
        </w:rPr>
      </w:pPr>
    </w:p>
    <w:p>
      <w:pPr>
        <w:ind w:right="760"/>
        <w:spacing w:after="0" w:line="304"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For disclosures related to the calculation of Partners’ share from consolidated joint ventures for the three months ended September 30, 2024, see pages 34 and 63.</w:t>
      </w:r>
      <w:r>
        <w:rPr>
          <w:rFonts w:ascii="Arial" w:cs="Arial" w:eastAsia="Arial" w:hAnsi="Arial"/>
          <w:sz w:val="9"/>
          <w:szCs w:val="9"/>
          <w:color w:val="auto"/>
        </w:rPr>
        <w:t xml:space="preserve"> 4 </w:t>
      </w: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9"/>
          <w:szCs w:val="9"/>
          <w:color w:val="auto"/>
        </w:rPr>
        <w:t xml:space="preserve"> </w:t>
      </w:r>
      <w:r>
        <w:rPr>
          <w:rFonts w:ascii="Arial" w:cs="Arial" w:eastAsia="Arial" w:hAnsi="Arial"/>
          <w:sz w:val="14"/>
          <w:szCs w:val="14"/>
          <w:color w:val="auto"/>
        </w:rPr>
        <w:t>(Annualized) is calculated as the product of such amount for the quarter multiplied by four (4).</w:t>
      </w:r>
    </w:p>
    <w:p>
      <w:pPr>
        <w:sectPr>
          <w:pgSz w:w="11900" w:h="16838" w:orient="portrait"/>
          <w:cols w:equalWidth="0" w:num="1">
            <w:col w:w="11240"/>
          </w:cols>
          <w:pgMar w:left="320" w:top="265" w:right="339" w:bottom="1440" w:gutter="0" w:footer="0" w:header="0"/>
        </w:sectPr>
      </w:pPr>
    </w:p>
    <w:p>
      <w:pPr>
        <w:spacing w:after="0" w:line="3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265" w:right="339" w:bottom="1440" w:gutter="0" w:footer="0" w:header="0"/>
          <w:type w:val="continuous"/>
        </w:sectPr>
      </w:pPr>
    </w:p>
    <w:bookmarkStart w:id="40" w:name="page41"/>
    <w:bookmarkEnd w:id="40"/>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Debt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for ratio amounts)</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INTEREST COVERAGE RATIO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BXP’s Share of interest expense </w:t>
      </w:r>
      <w:r>
        <w:rPr>
          <w:rFonts w:ascii="Arial" w:cs="Arial" w:eastAsia="Arial" w:hAnsi="Arial"/>
          <w:sz w:val="18"/>
          <w:szCs w:val="18"/>
          <w:color w:val="auto"/>
          <w:vertAlign w:val="superscript"/>
        </w:rPr>
        <w:t>1, 2</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18"/>
          <w:szCs w:val="18"/>
          <w:color w:val="auto"/>
          <w:vertAlign w:val="superscript"/>
        </w:rPr>
        <w:t>1</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18"/>
          <w:szCs w:val="18"/>
          <w:color w:val="auto"/>
          <w:vertAlign w:val="superscript"/>
        </w:rPr>
        <w:t>1</w:t>
      </w:r>
    </w:p>
    <w:p>
      <w:pPr>
        <w:ind w:left="220"/>
        <w:spacing w:after="0"/>
        <w:rPr>
          <w:sz w:val="20"/>
          <w:szCs w:val="20"/>
          <w:color w:val="auto"/>
        </w:rPr>
      </w:pPr>
      <w:r>
        <w:rPr>
          <w:rFonts w:ascii="Arial" w:cs="Arial" w:eastAsia="Arial" w:hAnsi="Arial"/>
          <w:sz w:val="14"/>
          <w:szCs w:val="14"/>
          <w:color w:val="auto"/>
        </w:rPr>
        <w:t xml:space="preserve">BXP’s Share of amortization of financing costs </w:t>
      </w:r>
      <w:r>
        <w:rPr>
          <w:rFonts w:ascii="Arial" w:cs="Arial" w:eastAsia="Arial" w:hAnsi="Arial"/>
          <w:sz w:val="18"/>
          <w:szCs w:val="18"/>
          <w:color w:val="auto"/>
          <w:vertAlign w:val="superscript"/>
        </w:rPr>
        <w:t>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Adjusted interest expense excluding capitalized interest </w:t>
      </w:r>
      <w:r>
        <w:rPr>
          <w:rFonts w:ascii="Arial" w:cs="Arial" w:eastAsia="Arial" w:hAnsi="Arial"/>
          <w:sz w:val="14"/>
          <w:szCs w:val="14"/>
          <w:b w:val="1"/>
          <w:bCs w:val="1"/>
          <w:color w:val="auto"/>
        </w:rPr>
        <w:t>(A)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capitalized interest </w:t>
      </w:r>
      <w:r>
        <w:rPr>
          <w:rFonts w:ascii="Arial" w:cs="Arial" w:eastAsia="Arial" w:hAnsi="Arial"/>
          <w:sz w:val="18"/>
          <w:szCs w:val="18"/>
          <w:color w:val="auto"/>
          <w:vertAlign w:val="superscript"/>
        </w:rPr>
        <w:t>1</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Adjusted interest expense including capitalized interest </w:t>
      </w:r>
      <w:r>
        <w:rPr>
          <w:rFonts w:ascii="Arial" w:cs="Arial" w:eastAsia="Arial" w:hAnsi="Arial"/>
          <w:sz w:val="14"/>
          <w:szCs w:val="14"/>
          <w:b w:val="1"/>
          <w:bCs w:val="1"/>
          <w:color w:val="auto"/>
        </w:rPr>
        <w:t>(B)</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1, 3</w:t>
      </w:r>
      <w:r>
        <w:rPr>
          <w:rFonts w:ascii="Arial" w:cs="Arial" w:eastAsia="Arial" w:hAnsi="Arial"/>
          <w:sz w:val="14"/>
          <w:szCs w:val="14"/>
          <w:color w:val="auto"/>
        </w:rPr>
        <w:t xml:space="preserve"> </w:t>
      </w:r>
      <w:r>
        <w:rPr>
          <w:rFonts w:ascii="Arial" w:cs="Arial" w:eastAsia="Arial" w:hAnsi="Arial"/>
          <w:sz w:val="14"/>
          <w:szCs w:val="14"/>
          <w:b w:val="1"/>
          <w:bCs w:val="1"/>
          <w:color w:val="auto"/>
        </w:rPr>
        <w:t>(C)</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Interest Coverage Ratio (excluding capitalized interest) </w:t>
      </w:r>
      <w:r>
        <w:rPr>
          <w:rFonts w:ascii="Arial" w:cs="Arial" w:eastAsia="Arial" w:hAnsi="Arial"/>
          <w:sz w:val="14"/>
          <w:szCs w:val="14"/>
          <w:b w:val="1"/>
          <w:bCs w:val="1"/>
          <w:color w:val="auto"/>
        </w:rPr>
        <w:t>(C÷A)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Interest Coverage Ratio (including capitalized interest) </w:t>
      </w:r>
      <w:r>
        <w:rPr>
          <w:rFonts w:ascii="Arial" w:cs="Arial" w:eastAsia="Arial" w:hAnsi="Arial"/>
          <w:sz w:val="14"/>
          <w:szCs w:val="14"/>
          <w:b w:val="1"/>
          <w:bCs w:val="1"/>
          <w:color w:val="auto"/>
        </w:rPr>
        <w:t>(C÷B)</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30-Sep-24</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30-Jun-24</w:t>
            </w:r>
          </w:p>
        </w:tc>
      </w:tr>
      <w:tr>
        <w:trPr>
          <w:trHeight w:val="189"/>
        </w:trPr>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170,524</w:t>
            </w:r>
          </w:p>
        </w:tc>
        <w:tc>
          <w:tcPr>
            <w:tcW w:w="26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156,411</w:t>
            </w:r>
          </w:p>
        </w:tc>
      </w:tr>
      <w:tr>
        <w:trPr>
          <w:trHeight w:val="405"/>
        </w:trPr>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1,949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2,030</w:t>
            </w:r>
          </w:p>
        </w:tc>
      </w:tr>
      <w:tr>
        <w:trPr>
          <w:trHeight w:val="203"/>
        </w:trPr>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4,723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4,705</w:t>
            </w:r>
          </w:p>
        </w:tc>
      </w:tr>
      <w:tr>
        <w:trPr>
          <w:trHeight w:val="207"/>
        </w:trPr>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4,950</w:t>
            </w:r>
          </w:p>
        </w:tc>
      </w:tr>
      <w:tr>
        <w:trPr>
          <w:trHeight w:val="192"/>
        </w:trPr>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159,092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144,726</w:t>
            </w:r>
          </w:p>
        </w:tc>
      </w:tr>
      <w:tr>
        <w:trPr>
          <w:trHeight w:val="409"/>
        </w:trPr>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14,897</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13,767</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173,989</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158,493</w:t>
            </w:r>
          </w:p>
        </w:tc>
      </w:tr>
      <w:tr>
        <w:trPr>
          <w:trHeight w:val="25"/>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68"/>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469,787</w:t>
            </w: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466,203</w:t>
            </w:r>
          </w:p>
        </w:tc>
      </w:tr>
      <w:tr>
        <w:trPr>
          <w:trHeight w:val="385"/>
        </w:trPr>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r>
      <w:tr>
        <w:trPr>
          <w:trHeight w:val="196"/>
        </w:trPr>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r>
    </w:tbl>
    <w:p>
      <w:pPr>
        <w:spacing w:after="0" w:line="200" w:lineRule="exact"/>
        <w:rPr>
          <w:sz w:val="20"/>
          <w:szCs w:val="20"/>
          <w:color w:val="auto"/>
        </w:rPr>
      </w:pPr>
    </w:p>
    <w:p>
      <w:pPr>
        <w:sectPr>
          <w:pgSz w:w="11900" w:h="16838" w:orient="portrait"/>
          <w:cols w:equalWidth="0" w:num="2">
            <w:col w:w="6860" w:space="720"/>
            <w:col w:w="3660"/>
          </w:cols>
          <w:pgMar w:left="320" w:top="265" w:right="339" w:bottom="39" w:gutter="0" w:footer="0" w:header="0"/>
          <w:type w:val="continuous"/>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FIXED CHARGE COVERAGE RATIO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3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BXP’s Share of interest expense </w:t>
      </w:r>
      <w:r>
        <w:rPr>
          <w:rFonts w:ascii="Arial" w:cs="Arial" w:eastAsia="Arial" w:hAnsi="Arial"/>
          <w:sz w:val="18"/>
          <w:szCs w:val="18"/>
          <w:color w:val="auto"/>
          <w:vertAlign w:val="superscript"/>
        </w:rPr>
        <w:t>1, 2</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18"/>
          <w:szCs w:val="18"/>
          <w:color w:val="auto"/>
          <w:vertAlign w:val="superscript"/>
        </w:rPr>
        <w:t>1</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18"/>
          <w:szCs w:val="18"/>
          <w:color w:val="auto"/>
          <w:vertAlign w:val="superscript"/>
        </w:rPr>
        <w:t>1</w:t>
      </w:r>
    </w:p>
    <w:p>
      <w:pPr>
        <w:ind w:left="220"/>
        <w:spacing w:after="0" w:line="234" w:lineRule="auto"/>
        <w:rPr>
          <w:sz w:val="20"/>
          <w:szCs w:val="20"/>
          <w:color w:val="auto"/>
        </w:rPr>
      </w:pPr>
      <w:r>
        <w:rPr>
          <w:rFonts w:ascii="Arial" w:cs="Arial" w:eastAsia="Arial" w:hAnsi="Arial"/>
          <w:sz w:val="14"/>
          <w:szCs w:val="14"/>
          <w:color w:val="auto"/>
        </w:rPr>
        <w:t xml:space="preserve">BXP’s Share of amortization of financing costs </w:t>
      </w:r>
      <w:r>
        <w:rPr>
          <w:rFonts w:ascii="Arial" w:cs="Arial" w:eastAsia="Arial" w:hAnsi="Arial"/>
          <w:sz w:val="18"/>
          <w:szCs w:val="18"/>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capitalized interest </w:t>
      </w:r>
      <w:r>
        <w:rPr>
          <w:rFonts w:ascii="Arial" w:cs="Arial" w:eastAsia="Arial" w:hAnsi="Arial"/>
          <w:sz w:val="18"/>
          <w:szCs w:val="18"/>
          <w:color w:val="auto"/>
          <w:vertAlign w:val="superscript"/>
        </w:rPr>
        <w:t>1</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18"/>
          <w:szCs w:val="18"/>
          <w:color w:val="auto"/>
          <w:vertAlign w:val="superscript"/>
        </w:rPr>
        <w:t>1</w:t>
      </w:r>
    </w:p>
    <w:p>
      <w:pPr>
        <w:spacing w:after="0" w:line="4" w:lineRule="exact"/>
        <w:rPr>
          <w:sz w:val="20"/>
          <w:szCs w:val="20"/>
          <w:color w:val="auto"/>
        </w:rPr>
      </w:pPr>
    </w:p>
    <w:p>
      <w:pPr>
        <w:ind w:left="20" w:right="2780" w:firstLine="202"/>
        <w:spacing w:after="0" w:line="393" w:lineRule="auto"/>
        <w:rPr>
          <w:sz w:val="20"/>
          <w:szCs w:val="20"/>
          <w:color w:val="auto"/>
        </w:rPr>
      </w:pPr>
      <w:r>
        <w:rPr>
          <w:rFonts w:ascii="Arial" w:cs="Arial" w:eastAsia="Arial" w:hAnsi="Arial"/>
          <w:sz w:val="14"/>
          <w:szCs w:val="14"/>
          <w:color w:val="auto"/>
        </w:rPr>
        <w:t xml:space="preserve">Hotel improvements, equipment upgrades and replacements Total Fixed Charges </w:t>
      </w:r>
      <w:r>
        <w:rPr>
          <w:rFonts w:ascii="Arial" w:cs="Arial" w:eastAsia="Arial" w:hAnsi="Arial"/>
          <w:sz w:val="14"/>
          <w:szCs w:val="14"/>
          <w:b w:val="1"/>
          <w:bCs w:val="1"/>
          <w:color w:val="auto"/>
        </w:rPr>
        <w:t>(A)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1, 3</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Fixed Charge Coverage Ratio </w:t>
      </w:r>
      <w:r>
        <w:rPr>
          <w:rFonts w:ascii="Arial" w:cs="Arial" w:eastAsia="Arial" w:hAnsi="Arial"/>
          <w:sz w:val="14"/>
          <w:szCs w:val="14"/>
          <w:b w:val="1"/>
          <w:bCs w:val="1"/>
          <w:color w:val="auto"/>
        </w:rPr>
        <w:t>(B÷A)</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30-Sep-24</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30-Jun-24</w:t>
            </w:r>
          </w:p>
        </w:tc>
      </w:tr>
      <w:tr>
        <w:trPr>
          <w:trHeight w:val="189"/>
        </w:trPr>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170,524</w:t>
            </w:r>
          </w:p>
        </w:tc>
        <w:tc>
          <w:tcPr>
            <w:tcW w:w="26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156,411</w:t>
            </w:r>
          </w:p>
        </w:tc>
      </w:tr>
      <w:tr>
        <w:trPr>
          <w:trHeight w:val="405"/>
        </w:trPr>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1,949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2,030</w:t>
            </w:r>
          </w:p>
        </w:tc>
      </w:tr>
      <w:tr>
        <w:trPr>
          <w:trHeight w:val="203"/>
        </w:trPr>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4,723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4,705</w:t>
            </w:r>
          </w:p>
        </w:tc>
      </w:tr>
      <w:tr>
        <w:trPr>
          <w:trHeight w:val="203"/>
        </w:trPr>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4,760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4,950</w:t>
            </w:r>
          </w:p>
        </w:tc>
      </w:tr>
      <w:tr>
        <w:trPr>
          <w:trHeight w:val="405"/>
        </w:trPr>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14,897</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13,767</w:t>
            </w:r>
          </w:p>
        </w:tc>
      </w:tr>
      <w:tr>
        <w:trPr>
          <w:trHeight w:val="203"/>
        </w:trPr>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18,220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14,491</w:t>
            </w:r>
          </w:p>
        </w:tc>
      </w:tr>
      <w:tr>
        <w:trPr>
          <w:trHeight w:val="207"/>
        </w:trPr>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192,517</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173,096</w:t>
            </w:r>
          </w:p>
        </w:tc>
      </w:tr>
      <w:tr>
        <w:trPr>
          <w:trHeight w:val="25"/>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6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469,787</w:t>
            </w: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466,203</w:t>
            </w:r>
          </w:p>
        </w:tc>
      </w:tr>
      <w:tr>
        <w:trPr>
          <w:trHeight w:val="196"/>
        </w:trPr>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r>
    </w:tbl>
    <w:p>
      <w:pPr>
        <w:spacing w:after="0" w:line="200" w:lineRule="exact"/>
        <w:rPr>
          <w:sz w:val="20"/>
          <w:szCs w:val="20"/>
          <w:color w:val="auto"/>
        </w:rPr>
      </w:pPr>
    </w:p>
    <w:p>
      <w:pPr>
        <w:sectPr>
          <w:pgSz w:w="11900" w:h="16838" w:orient="portrait"/>
          <w:cols w:equalWidth="0" w:num="2">
            <w:col w:w="6860" w:space="720"/>
            <w:col w:w="3660"/>
          </w:cols>
          <w:pgMar w:left="320" w:top="265" w:right="339" w:bottom="3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160" w:hanging="71"/>
        <w:spacing w:after="0"/>
        <w:tabs>
          <w:tab w:leader="none" w:pos="160" w:val="left"/>
        </w:tabs>
        <w:numPr>
          <w:ilvl w:val="0"/>
          <w:numId w:val="80"/>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57.</w:t>
      </w:r>
    </w:p>
    <w:p>
      <w:pPr>
        <w:spacing w:after="0" w:line="55" w:lineRule="exact"/>
        <w:rPr>
          <w:sz w:val="20"/>
          <w:szCs w:val="20"/>
          <w:color w:val="auto"/>
        </w:rPr>
      </w:pPr>
    </w:p>
    <w:p>
      <w:pPr>
        <w:ind w:left="180" w:right="200" w:hanging="91"/>
        <w:spacing w:after="0" w:line="222" w:lineRule="auto"/>
        <w:tabs>
          <w:tab w:leader="none" w:pos="178"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2024, includes an approximately $9.5 million one-time, non-cash decrease in interest expense. The decrease is the result of updating our Skylyne ground lease purchase assumption that decreased previously recorded finance lease interest expense.</w:t>
      </w:r>
    </w:p>
    <w:p>
      <w:pPr>
        <w:ind w:left="160" w:hanging="71"/>
        <w:spacing w:after="0" w:line="238"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of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see page 32.</w:t>
      </w:r>
    </w:p>
    <w:p>
      <w:pPr>
        <w:sectPr>
          <w:pgSz w:w="11900" w:h="16838" w:orient="portrait"/>
          <w:cols w:equalWidth="0" w:num="1">
            <w:col w:w="11240"/>
          </w:cols>
          <w:pgMar w:left="320" w:top="265" w:right="339" w:bottom="39"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265" w:right="339" w:bottom="39" w:gutter="0" w:footer="0" w:header="0"/>
          <w:type w:val="continuous"/>
        </w:sectPr>
      </w:pPr>
    </w:p>
    <w:bookmarkStart w:id="41" w:name="page42"/>
    <w:bookmarkEnd w:id="4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center"/>
              <w:ind w:right="208"/>
              <w:spacing w:after="0"/>
              <w:rPr>
                <w:sz w:val="20"/>
                <w:szCs w:val="20"/>
                <w:color w:val="auto"/>
              </w:rPr>
            </w:pPr>
            <w:r>
              <w:rPr>
                <w:rFonts w:ascii="Arial" w:cs="Arial" w:eastAsia="Arial" w:hAnsi="Arial"/>
                <w:sz w:val="14"/>
                <w:szCs w:val="14"/>
                <w:b w:val="1"/>
                <w:bCs w:val="1"/>
                <w:color w:val="auto"/>
              </w:rPr>
              <w:t>767 Fifth Avenue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 Consolidated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 xml:space="preserve">(The GM Building) </w:t>
            </w:r>
            <w:r>
              <w:rPr>
                <w:rFonts w:ascii="Arial" w:cs="Arial" w:eastAsia="Arial" w:hAnsi="Arial"/>
                <w:sz w:val="9"/>
                <w:szCs w:val="9"/>
                <w:b w:val="1"/>
                <w:bCs w:val="1"/>
                <w:color w:val="auto"/>
              </w:rPr>
              <w:t>1</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xml:space="preserve">Norges Joint Ventures </w:t>
            </w:r>
            <w:r>
              <w:rPr>
                <w:rFonts w:ascii="Arial" w:cs="Arial" w:eastAsia="Arial" w:hAnsi="Arial"/>
                <w:sz w:val="9"/>
                <w:szCs w:val="9"/>
                <w:b w:val="1"/>
                <w:bCs w:val="1"/>
                <w:color w:val="auto"/>
              </w:rPr>
              <w:t>1, 2</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Joint Ventures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3880" w:type="dxa"/>
            <w:vAlign w:val="bottom"/>
          </w:tcPr>
          <w:p>
            <w:pPr>
              <w:ind w:left="20"/>
              <w:spacing w:after="0"/>
              <w:rPr>
                <w:sz w:val="20"/>
                <w:szCs w:val="20"/>
                <w:color w:val="auto"/>
              </w:rPr>
            </w:pPr>
            <w:r>
              <w:rPr>
                <w:rFonts w:ascii="Arial" w:cs="Arial" w:eastAsia="Arial" w:hAnsi="Arial"/>
                <w:sz w:val="14"/>
                <w:szCs w:val="14"/>
                <w:color w:val="auto"/>
              </w:rPr>
              <w:t>Real estate,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3,180,348</w:t>
            </w:r>
          </w:p>
        </w:tc>
        <w:tc>
          <w:tcPr>
            <w:tcW w:w="26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3,062,768</w:t>
            </w:r>
          </w:p>
        </w:tc>
        <w:tc>
          <w:tcPr>
            <w:tcW w:w="26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6,243,116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103,215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219,755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322,970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326,409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446,118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772,527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76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3,609,972</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3,728,641</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7,338,613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0"/>
        </w:trPr>
        <w:tc>
          <w:tcPr>
            <w:tcW w:w="3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4"/>
                <w:szCs w:val="14"/>
                <w:color w:val="auto"/>
              </w:rPr>
              <w:t>Mortgage notes payable,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2,290,609</w:t>
            </w:r>
          </w:p>
        </w:tc>
        <w:tc>
          <w:tcPr>
            <w:tcW w:w="26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990,192</w:t>
            </w:r>
          </w:p>
        </w:tc>
        <w:tc>
          <w:tcPr>
            <w:tcW w:w="26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3,280,801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67,604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328,837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4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2,358,213</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1,319,029</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3,677,242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Arial" w:cs="Arial" w:eastAsia="Arial" w:hAnsi="Arial"/>
                <w:sz w:val="14"/>
                <w:szCs w:val="14"/>
                <w:color w:val="auto"/>
              </w:rPr>
              <w:t>BXP, Inc.</w:t>
            </w:r>
          </w:p>
        </w:tc>
        <w:tc>
          <w:tcPr>
            <w:tcW w:w="2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752,629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1,034,435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1,787,064</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3</w:t>
            </w:r>
          </w:p>
        </w:tc>
        <w:tc>
          <w:tcPr>
            <w:tcW w:w="0" w:type="dxa"/>
            <w:vAlign w:val="bottom"/>
          </w:tcPr>
          <w:p>
            <w:pPr>
              <w:spacing w:after="0"/>
              <w:rPr>
                <w:sz w:val="1"/>
                <w:szCs w:val="1"/>
                <w:color w:val="auto"/>
              </w:rPr>
            </w:pPr>
          </w:p>
        </w:tc>
      </w:tr>
      <w:tr>
        <w:trPr>
          <w:trHeight w:val="204"/>
        </w:trPr>
        <w:tc>
          <w:tcPr>
            <w:tcW w:w="388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499,130</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1,375,177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1,874,307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48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1,251,759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2,409,612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3,661,371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760"/>
              <w:spacing w:after="0"/>
              <w:rPr>
                <w:sz w:val="20"/>
                <w:szCs w:val="20"/>
                <w:color w:val="auto"/>
              </w:rPr>
            </w:pPr>
            <w:r>
              <w:rPr>
                <w:rFonts w:ascii="Arial" w:cs="Arial" w:eastAsia="Arial" w:hAnsi="Arial"/>
                <w:sz w:val="14"/>
                <w:szCs w:val="14"/>
                <w:b w:val="1"/>
                <w:bCs w:val="1"/>
                <w:color w:val="auto"/>
              </w:rPr>
              <w:t>Total liabilities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3,609,972</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3,728,641</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7,338,613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388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880" w:type="dxa"/>
            <w:vAlign w:val="bottom"/>
          </w:tcPr>
          <w:p>
            <w:pPr>
              <w:ind w:left="20"/>
              <w:spacing w:after="0"/>
              <w:rPr>
                <w:sz w:val="20"/>
                <w:szCs w:val="20"/>
                <w:color w:val="auto"/>
              </w:rPr>
            </w:pPr>
            <w:r>
              <w:rPr>
                <w:rFonts w:ascii="Arial" w:cs="Arial" w:eastAsia="Arial" w:hAnsi="Arial"/>
                <w:sz w:val="14"/>
                <w:szCs w:val="14"/>
                <w:color w:val="auto"/>
              </w:rPr>
              <w:t xml:space="preserve">Partners’ share of cash and cash equivalents </w:t>
            </w:r>
            <w:r>
              <w:rPr>
                <w:rFonts w:ascii="Arial" w:cs="Arial" w:eastAsia="Arial" w:hAnsi="Arial"/>
                <w:sz w:val="9"/>
                <w:szCs w:val="9"/>
                <w:color w:val="auto"/>
              </w:rPr>
              <w:t>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41,286</w:t>
            </w:r>
          </w:p>
        </w:tc>
        <w:tc>
          <w:tcPr>
            <w:tcW w:w="26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98,890</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880" w:type="dxa"/>
            <w:vAlign w:val="bottom"/>
          </w:tcPr>
          <w:p>
            <w:pPr>
              <w:ind w:left="20"/>
              <w:spacing w:after="0"/>
              <w:rPr>
                <w:sz w:val="20"/>
                <w:szCs w:val="20"/>
                <w:color w:val="auto"/>
              </w:rPr>
            </w:pPr>
            <w:r>
              <w:rPr>
                <w:rFonts w:ascii="Arial" w:cs="Arial" w:eastAsia="Arial" w:hAnsi="Arial"/>
                <w:sz w:val="14"/>
                <w:szCs w:val="14"/>
                <w:color w:val="auto"/>
              </w:rPr>
              <w:t xml:space="preserve">Partners’ share of consolidated debt </w:t>
            </w:r>
            <w:r>
              <w:rPr>
                <w:rFonts w:ascii="Arial" w:cs="Arial" w:eastAsia="Arial" w:hAnsi="Arial"/>
                <w:sz w:val="9"/>
                <w:szCs w:val="9"/>
                <w:color w:val="auto"/>
              </w:rPr>
              <w:t>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916,283</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445,586</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1,361,869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Certain balances contain amounts that eliminate in consolidation.</w:t>
      </w:r>
    </w:p>
    <w:p>
      <w:pPr>
        <w:spacing w:after="0" w:line="26" w:lineRule="exact"/>
        <w:rPr>
          <w:sz w:val="20"/>
          <w:szCs w:val="20"/>
          <w:color w:val="auto"/>
        </w:rPr>
      </w:pPr>
    </w:p>
    <w:p>
      <w:pPr>
        <w:ind w:left="80" w:right="220" w:hanging="72"/>
        <w:spacing w:after="0" w:line="279" w:lineRule="auto"/>
        <w:tabs>
          <w:tab w:leader="none" w:pos="78" w:val="left"/>
        </w:tabs>
        <w:numPr>
          <w:ilvl w:val="0"/>
          <w:numId w:val="84"/>
        </w:numPr>
        <w:rPr>
          <w:rFonts w:ascii="Arial" w:cs="Arial" w:eastAsia="Arial" w:hAnsi="Arial"/>
          <w:sz w:val="9"/>
          <w:szCs w:val="9"/>
          <w:color w:val="auto"/>
        </w:rPr>
      </w:pPr>
      <w:r>
        <w:rPr>
          <w:rFonts w:ascii="Arial" w:cs="Arial" w:eastAsia="Arial" w:hAnsi="Arial"/>
          <w:sz w:val="14"/>
          <w:szCs w:val="14"/>
          <w:color w:val="auto"/>
        </w:rPr>
        <w:t>Norges Joint Ventures include Times Square Tower, 601 Lexington Avenue/One Five Nine East 53rd Street, 100 Federal Street, Atlantic Wharf Office, 343 Madison Avenue, 300 Binney Street, and 290 Binney Street.</w:t>
      </w:r>
    </w:p>
    <w:p>
      <w:pPr>
        <w:ind w:left="80" w:hanging="72"/>
        <w:spacing w:after="0" w:line="212" w:lineRule="auto"/>
        <w:tabs>
          <w:tab w:leader="none" w:pos="80"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Amount excludes preferred shareholders’ capital.</w:t>
      </w:r>
    </w:p>
    <w:p>
      <w:pPr>
        <w:ind w:left="80" w:hanging="72"/>
        <w:spacing w:after="0" w:line="222" w:lineRule="auto"/>
        <w:tabs>
          <w:tab w:leader="none" w:pos="8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Amounts represent the partners’ share based on their respective ownership percentages.</w:t>
      </w:r>
    </w:p>
    <w:p>
      <w:pPr>
        <w:spacing w:after="0" w:line="40"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Amount adjusted for basis differentials.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265" w:right="339" w:bottom="1440" w:gutter="0" w:footer="0" w:header="0"/>
          <w:type w:val="continuous"/>
        </w:sectPr>
      </w:pPr>
    </w:p>
    <w:bookmarkStart w:id="42" w:name="page43"/>
    <w:bookmarkEnd w:id="4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joint ventures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767 Fifth Avenue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 Consolidated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(The GM Building)</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40"/>
              <w:spacing w:after="0" w:line="205" w:lineRule="exact"/>
              <w:rPr>
                <w:sz w:val="20"/>
                <w:szCs w:val="20"/>
                <w:color w:val="auto"/>
              </w:rPr>
            </w:pPr>
            <w:r>
              <w:rPr>
                <w:rFonts w:ascii="Arial" w:cs="Arial" w:eastAsia="Arial" w:hAnsi="Arial"/>
                <w:sz w:val="14"/>
                <w:szCs w:val="14"/>
                <w:b w:val="1"/>
                <w:bCs w:val="1"/>
                <w:color w:val="auto"/>
              </w:rPr>
              <w:t xml:space="preserve">Norges Joint Ventures </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Joint Ventures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rPr>
                <w:sz w:val="20"/>
                <w:szCs w:val="20"/>
                <w:color w:val="auto"/>
              </w:rPr>
            </w:pPr>
            <w:r>
              <w:rPr>
                <w:rFonts w:ascii="Arial" w:cs="Arial" w:eastAsia="Arial" w:hAnsi="Arial"/>
                <w:sz w:val="14"/>
                <w:szCs w:val="14"/>
                <w:color w:val="auto"/>
              </w:rPr>
              <w:t>Revenue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76,554</w:t>
            </w:r>
          </w:p>
        </w:tc>
        <w:tc>
          <w:tcPr>
            <w:tcW w:w="4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93,576</w:t>
            </w:r>
          </w:p>
        </w:tc>
        <w:tc>
          <w:tcPr>
            <w:tcW w:w="4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170,130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5,265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7,641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12,906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480"/>
              <w:spacing w:after="0"/>
              <w:rPr>
                <w:sz w:val="20"/>
                <w:szCs w:val="20"/>
                <w:color w:val="auto"/>
              </w:rPr>
            </w:pPr>
            <w:r>
              <w:rPr>
                <w:rFonts w:ascii="Arial" w:cs="Arial" w:eastAsia="Arial" w:hAnsi="Arial"/>
                <w:sz w:val="14"/>
                <w:szCs w:val="14"/>
                <w:color w:val="auto"/>
              </w:rPr>
              <w:t>Total lease revenue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81,838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101,217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183,055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480"/>
              <w:spacing w:after="0" w:line="202" w:lineRule="exact"/>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81,838</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102,631</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184,469</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rPr>
                <w:sz w:val="20"/>
                <w:szCs w:val="20"/>
                <w:color w:val="auto"/>
              </w:rPr>
            </w:pPr>
            <w:r>
              <w:rPr>
                <w:rFonts w:ascii="Arial" w:cs="Arial" w:eastAsia="Arial" w:hAnsi="Arial"/>
                <w:sz w:val="14"/>
                <w:szCs w:val="14"/>
                <w:color w:val="auto"/>
              </w:rPr>
              <w:t>Expenses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33,970</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42,791</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76,761</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47,868</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59,840</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107,708</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47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Development and management services revenue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616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Losses from investments in securities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Interest and other income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1,243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2,364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3,607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(21,395)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4"/>
                <w:szCs w:val="14"/>
                <w:color w:val="auto"/>
              </w:rPr>
              <w:t>(7,668)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(29,063)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(17,469)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4"/>
                <w:szCs w:val="14"/>
                <w:color w:val="auto"/>
              </w:rPr>
              <w:t>(24,856)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(42,325)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20"/>
              <w:spacing w:after="0"/>
              <w:rPr>
                <w:sz w:val="20"/>
                <w:szCs w:val="20"/>
                <w:color w:val="auto"/>
              </w:rPr>
            </w:pPr>
            <w:r>
              <w:rPr>
                <w:rFonts w:ascii="Arial" w:cs="Arial" w:eastAsia="Arial" w:hAnsi="Arial"/>
                <w:sz w:val="14"/>
                <w:szCs w:val="14"/>
                <w:color w:val="auto"/>
              </w:rPr>
              <w:t>Transaction costs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General and administrative expense</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(288)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480"/>
              <w:spacing w:after="0"/>
              <w:rPr>
                <w:sz w:val="20"/>
                <w:szCs w:val="20"/>
                <w:color w:val="auto"/>
              </w:rPr>
            </w:pPr>
            <w:r>
              <w:rPr>
                <w:rFonts w:ascii="Arial" w:cs="Arial" w:eastAsia="Arial" w:hAnsi="Arial"/>
                <w:sz w:val="14"/>
                <w:szCs w:val="14"/>
                <w:color w:val="auto"/>
              </w:rPr>
              <w:t>Total other income (expense)</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(37,908)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(29,706)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(67,614)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9,960</w:t>
            </w:r>
          </w:p>
        </w:tc>
        <w:tc>
          <w:tcPr>
            <w:tcW w:w="40" w:type="dxa"/>
            <w:vAlign w:val="bottom"/>
          </w:tcPr>
          <w:p>
            <w:pPr>
              <w:spacing w:after="0"/>
              <w:rPr>
                <w:sz w:val="17"/>
                <w:szCs w:val="17"/>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30,134</w:t>
            </w:r>
          </w:p>
        </w:tc>
        <w:tc>
          <w:tcPr>
            <w:tcW w:w="40" w:type="dxa"/>
            <w:vAlign w:val="bottom"/>
          </w:tcPr>
          <w:p>
            <w:pPr>
              <w:spacing w:after="0"/>
              <w:rPr>
                <w:sz w:val="17"/>
                <w:szCs w:val="17"/>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40,094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FUNDS FROM OPERATIONS (FFO)</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1"/>
        </w:trPr>
        <w:tc>
          <w:tcPr>
            <w:tcW w:w="4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7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470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9"/>
              </w:rPr>
              <w:t>60%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767 Fifth Avenue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 Consolidated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Reconciliation of Partners’ share of FFO</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(The GM Building)</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80"/>
              <w:spacing w:after="0" w:line="205" w:lineRule="exact"/>
              <w:rPr>
                <w:sz w:val="20"/>
                <w:szCs w:val="20"/>
                <w:color w:val="auto"/>
              </w:rPr>
            </w:pPr>
            <w:r>
              <w:rPr>
                <w:rFonts w:ascii="Arial" w:cs="Arial" w:eastAsia="Arial" w:hAnsi="Arial"/>
                <w:sz w:val="14"/>
                <w:szCs w:val="14"/>
                <w:b w:val="1"/>
                <w:bCs w:val="1"/>
                <w:color w:val="auto"/>
              </w:rPr>
              <w:t xml:space="preserve">Norges Joint Ventures </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Joint Ventures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9,960</w:t>
            </w: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30,134</w:t>
            </w: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40,094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17,469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4"/>
                <w:szCs w:val="14"/>
                <w:color w:val="auto"/>
              </w:rPr>
              <w:t>Entity FFO</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54,990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82,419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 xml:space="preserve">Noncontrolling interest in property partnerships (Partners’ NCI) </w:t>
            </w:r>
            <w:r>
              <w:rPr>
                <w:rFonts w:ascii="Arial" w:cs="Arial" w:eastAsia="Arial" w:hAnsi="Arial"/>
                <w:sz w:val="18"/>
                <w:szCs w:val="18"/>
                <w:color w:val="auto"/>
                <w:vertAlign w:val="superscript"/>
              </w:rPr>
              <w:t>4</w:t>
            </w:r>
          </w:p>
        </w:tc>
        <w:tc>
          <w:tcPr>
            <w:tcW w:w="280" w:type="dxa"/>
            <w:vAlign w:val="bottom"/>
            <w:tcBorders>
              <w:bottom w:val="single" w:sz="8" w:color="auto"/>
            </w:tcBorders>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700" w:type="dxa"/>
            <w:vAlign w:val="bottom"/>
            <w:vMerge w:val="continue"/>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2,954</w:t>
            </w:r>
          </w:p>
        </w:tc>
        <w:tc>
          <w:tcPr>
            <w:tcW w:w="40" w:type="dxa"/>
            <w:vAlign w:val="bottom"/>
          </w:tcPr>
          <w:p>
            <w:pPr>
              <w:spacing w:after="0"/>
              <w:rPr>
                <w:sz w:val="24"/>
                <w:szCs w:val="2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12,283</w:t>
            </w:r>
          </w:p>
        </w:tc>
        <w:tc>
          <w:tcPr>
            <w:tcW w:w="40" w:type="dxa"/>
            <w:vAlign w:val="bottom"/>
          </w:tcPr>
          <w:p>
            <w:pPr>
              <w:spacing w:after="0"/>
              <w:rPr>
                <w:sz w:val="24"/>
                <w:szCs w:val="24"/>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15,237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4"/>
                <w:szCs w:val="14"/>
                <w:color w:val="auto"/>
              </w:rPr>
              <w:t>Partners’ share of depreciation and amortization expense after BXP’s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auto"/>
              </w:rPr>
              <w:t>7,345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11,512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18,857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700" w:type="dxa"/>
            <w:vAlign w:val="bottom"/>
          </w:tcPr>
          <w:p>
            <w:pPr>
              <w:ind w:left="180"/>
              <w:spacing w:after="0" w:line="201" w:lineRule="exact"/>
              <w:rPr>
                <w:sz w:val="20"/>
                <w:szCs w:val="20"/>
                <w:color w:val="auto"/>
              </w:rPr>
            </w:pPr>
            <w:r>
              <w:rPr>
                <w:rFonts w:ascii="Arial" w:cs="Arial" w:eastAsia="Arial" w:hAnsi="Arial"/>
                <w:sz w:val="14"/>
                <w:szCs w:val="14"/>
                <w:color w:val="auto"/>
              </w:rPr>
              <w:t xml:space="preserve">basis differential </w:t>
            </w:r>
            <w:r>
              <w:rPr>
                <w:rFonts w:ascii="Arial" w:cs="Arial" w:eastAsia="Arial" w:hAnsi="Arial"/>
                <w:sz w:val="18"/>
                <w:szCs w:val="18"/>
                <w:color w:val="auto"/>
                <w:vertAlign w:val="superscript"/>
              </w:rPr>
              <w:t>4</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Partners’ share FFO </w:t>
            </w:r>
            <w:r>
              <w:rPr>
                <w:rFonts w:ascii="Arial" w:cs="Arial" w:eastAsia="Arial" w:hAnsi="Arial"/>
                <w:sz w:val="18"/>
                <w:szCs w:val="18"/>
                <w:color w:val="auto"/>
                <w:vertAlign w:val="superscript"/>
              </w:rPr>
              <w:t>4</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10,299</w:t>
            </w:r>
          </w:p>
        </w:tc>
        <w:tc>
          <w:tcPr>
            <w:tcW w:w="4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23,795</w:t>
            </w:r>
          </w:p>
        </w:tc>
        <w:tc>
          <w:tcPr>
            <w:tcW w:w="4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34,094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FFO</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70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BXP’s share of net income adjusted for partners’ NCI</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7,006</w:t>
            </w:r>
          </w:p>
        </w:tc>
        <w:tc>
          <w:tcPr>
            <w:tcW w:w="40" w:type="dxa"/>
            <w:vAlign w:val="bottom"/>
          </w:tcPr>
          <w:p>
            <w:pPr>
              <w:spacing w:after="0"/>
              <w:rPr>
                <w:sz w:val="16"/>
                <w:szCs w:val="16"/>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17,851</w:t>
            </w:r>
          </w:p>
        </w:tc>
        <w:tc>
          <w:tcPr>
            <w:tcW w:w="4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24,857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Depreciation and amortization expense - BXP’s basis difference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374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435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4"/>
                <w:szCs w:val="14"/>
                <w:color w:val="auto"/>
              </w:rPr>
              <w:t>BXP’s share of depreciation and amortization expense</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4"/>
                <w:szCs w:val="14"/>
                <w:color w:val="auto"/>
              </w:rPr>
              <w:t>BXP’s share of FFO</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17,130</w:t>
            </w:r>
          </w:p>
        </w:tc>
        <w:tc>
          <w:tcPr>
            <w:tcW w:w="4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31,195</w:t>
            </w:r>
          </w:p>
        </w:tc>
        <w:tc>
          <w:tcPr>
            <w:tcW w:w="4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48,325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48" w:lineRule="exact"/>
        <w:rPr>
          <w:sz w:val="20"/>
          <w:szCs w:val="20"/>
          <w:color w:val="auto"/>
        </w:rPr>
      </w:pPr>
    </w:p>
    <w:p>
      <w:pPr>
        <w:ind w:left="80" w:right="220" w:hanging="72"/>
        <w:spacing w:after="0" w:line="238" w:lineRule="auto"/>
        <w:tabs>
          <w:tab w:leader="none" w:pos="77"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Times Square Tower, 601 Lexington Avenue/One Five Nine East 53rd Street, 100 Federal Street, Atlantic Wharf Office, 343 Madison Avenue, 300 Binney Street, and 290 Binney Street.</w:t>
      </w:r>
    </w:p>
    <w:p>
      <w:pPr>
        <w:spacing w:after="0" w:line="13" w:lineRule="exact"/>
        <w:rPr>
          <w:sz w:val="20"/>
          <w:szCs w:val="20"/>
          <w:color w:val="auto"/>
        </w:rPr>
      </w:pPr>
    </w:p>
    <w:p>
      <w:pPr>
        <w:ind w:left="100" w:hanging="92"/>
        <w:spacing w:after="0"/>
        <w:tabs>
          <w:tab w:leader="none" w:pos="100" w:val="left"/>
        </w:tabs>
        <w:numPr>
          <w:ilvl w:val="0"/>
          <w:numId w:val="88"/>
        </w:numPr>
        <w:rPr>
          <w:rFonts w:ascii="Arial" w:cs="Arial" w:eastAsia="Arial" w:hAnsi="Arial"/>
          <w:sz w:val="9"/>
          <w:szCs w:val="9"/>
          <w:color w:val="auto"/>
        </w:rPr>
      </w:pPr>
      <w:r>
        <w:rPr>
          <w:rFonts w:ascii="Arial" w:cs="Arial" w:eastAsia="Arial" w:hAnsi="Arial"/>
          <w:sz w:val="14"/>
          <w:szCs w:val="14"/>
          <w:color w:val="auto"/>
        </w:rPr>
        <w:t>Lease revenue includes recoveries from clients and service income from clients.</w:t>
      </w:r>
    </w:p>
    <w:p>
      <w:pPr>
        <w:spacing w:after="0" w:line="27" w:lineRule="exact"/>
        <w:rPr>
          <w:sz w:val="20"/>
          <w:szCs w:val="20"/>
          <w:color w:val="auto"/>
        </w:rPr>
      </w:pPr>
    </w:p>
    <w:p>
      <w:pPr>
        <w:ind w:left="80" w:hanging="72"/>
        <w:spacing w:after="0"/>
        <w:tabs>
          <w:tab w:leader="none" w:pos="8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57.</w:t>
      </w:r>
    </w:p>
    <w:p>
      <w:pPr>
        <w:spacing w:after="0" w:line="26" w:lineRule="exact"/>
        <w:rPr>
          <w:sz w:val="20"/>
          <w:szCs w:val="20"/>
          <w:color w:val="auto"/>
        </w:rPr>
      </w:pPr>
    </w:p>
    <w:p>
      <w:pPr>
        <w:ind w:left="80" w:right="120" w:hanging="72"/>
        <w:spacing w:after="0" w:line="284" w:lineRule="auto"/>
        <w:tabs>
          <w:tab w:leader="none" w:pos="91" w:val="left"/>
        </w:tabs>
        <w:numPr>
          <w:ilvl w:val="0"/>
          <w:numId w:val="90"/>
        </w:numPr>
        <w:rPr>
          <w:rFonts w:ascii="Arial" w:cs="Arial" w:eastAsia="Arial" w:hAnsi="Arial"/>
          <w:sz w:val="9"/>
          <w:szCs w:val="9"/>
          <w:color w:val="auto"/>
        </w:rPr>
      </w:pPr>
      <w:r>
        <w:rPr>
          <w:rFonts w:ascii="Arial" w:cs="Arial" w:eastAsia="Arial" w:hAnsi="Arial"/>
          <w:sz w:val="14"/>
          <w:szCs w:val="14"/>
          <w:color w:val="auto"/>
        </w:rPr>
        <w:t>Amounts represent the partners’ share based on their respective ownership percentages and are adjusted for basis differentials and the allocations of management and other fees and depreciation and amortization related to capitalized fees.</w:t>
      </w:r>
    </w:p>
    <w:p>
      <w:pPr>
        <w:sectPr>
          <w:pgSz w:w="11900" w:h="16838" w:orient="portrait"/>
          <w:cols w:equalWidth="0" w:num="1">
            <w:col w:w="11240"/>
          </w:cols>
          <w:pgMar w:left="320" w:top="265" w:right="339" w:bottom="1440" w:gutter="0" w:footer="0" w:header="0"/>
        </w:sectPr>
      </w:pPr>
    </w:p>
    <w:p>
      <w:pPr>
        <w:spacing w:after="0" w:line="26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265" w:right="339" w:bottom="1440" w:gutter="0" w:footer="0" w:header="0"/>
          <w:type w:val="continuous"/>
        </w:sectPr>
      </w:pPr>
    </w:p>
    <w:bookmarkStart w:id="43" w:name="page44"/>
    <w:bookmarkEnd w:id="43"/>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Unconsolidated joint ventures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BXP’s Nominal</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Mortgage/Construction</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00"/>
        </w:trPr>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Property</w:t>
            </w:r>
          </w:p>
        </w:tc>
        <w:tc>
          <w:tcPr>
            <w:tcW w:w="18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Ownership</w:t>
            </w: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Net Equity</w:t>
            </w: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3"/>
                <w:szCs w:val="13"/>
                <w:b w:val="1"/>
                <w:bCs w:val="1"/>
                <w:color w:val="auto"/>
              </w:rPr>
              <w:t>Loans Payable, Net</w:t>
            </w:r>
          </w:p>
        </w:tc>
        <w:tc>
          <w:tcPr>
            <w:tcW w:w="20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Arial" w:cs="Arial" w:eastAsia="Arial" w:hAnsi="Arial"/>
                <w:sz w:val="13"/>
                <w:szCs w:val="13"/>
                <w:b w:val="1"/>
                <w:bCs w:val="1"/>
                <w:color w:val="auto"/>
              </w:rPr>
              <w:t>Maturity Date</w:t>
            </w: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Stated</w:t>
            </w:r>
          </w:p>
        </w:tc>
        <w:tc>
          <w:tcPr>
            <w:tcW w:w="900" w:type="dxa"/>
            <w:vAlign w:val="bottom"/>
          </w:tcPr>
          <w:p>
            <w:pPr>
              <w:jc w:val="right"/>
              <w:ind w:right="128"/>
              <w:spacing w:after="0"/>
              <w:rPr>
                <w:sz w:val="20"/>
                <w:szCs w:val="20"/>
                <w:color w:val="auto"/>
              </w:rPr>
            </w:pPr>
            <w:r>
              <w:rPr>
                <w:rFonts w:ascii="Arial" w:cs="Arial" w:eastAsia="Arial" w:hAnsi="Arial"/>
                <w:sz w:val="13"/>
                <w:szCs w:val="13"/>
                <w:b w:val="1"/>
                <w:bCs w:val="1"/>
                <w:color w:val="auto"/>
              </w:rPr>
              <w:t xml:space="preserve">GAAP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94"/>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Boston</w:t>
            </w:r>
          </w:p>
        </w:tc>
        <w:tc>
          <w:tcPr>
            <w:tcW w:w="1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240"/>
              <w:spacing w:after="0"/>
              <w:rPr>
                <w:sz w:val="20"/>
                <w:szCs w:val="20"/>
                <w:color w:val="auto"/>
              </w:rPr>
            </w:pPr>
            <w:r>
              <w:rPr>
                <w:rFonts w:ascii="Arial" w:cs="Arial" w:eastAsia="Arial" w:hAnsi="Arial"/>
                <w:sz w:val="14"/>
                <w:szCs w:val="14"/>
                <w:color w:val="auto"/>
              </w:rPr>
              <w:t xml:space="preserve">100 Causeway Street </w:t>
            </w:r>
            <w:r>
              <w:rPr>
                <w:rFonts w:ascii="Arial" w:cs="Arial" w:eastAsia="Arial" w:hAnsi="Arial"/>
                <w:sz w:val="18"/>
                <w:szCs w:val="18"/>
                <w:color w:val="auto"/>
                <w:vertAlign w:val="superscript"/>
              </w:rPr>
              <w:t>3</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56,055</w:t>
            </w:r>
          </w:p>
        </w:tc>
        <w:tc>
          <w:tcPr>
            <w:tcW w:w="2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166,519</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September 5, 2025</w:t>
            </w:r>
          </w:p>
        </w:tc>
        <w:tc>
          <w:tcPr>
            <w:tcW w:w="880" w:type="dxa"/>
            <w:vAlign w:val="bottom"/>
          </w:tcPr>
          <w:p>
            <w:pPr>
              <w:jc w:val="right"/>
              <w:spacing w:after="0"/>
              <w:rPr>
                <w:sz w:val="20"/>
                <w:szCs w:val="20"/>
                <w:color w:val="auto"/>
              </w:rPr>
            </w:pPr>
            <w:r>
              <w:rPr>
                <w:rFonts w:ascii="Arial" w:cs="Arial" w:eastAsia="Arial" w:hAnsi="Arial"/>
                <w:sz w:val="14"/>
                <w:szCs w:val="14"/>
                <w:color w:val="auto"/>
              </w:rPr>
              <w:t>6.68 %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6.85 %</w:t>
            </w:r>
          </w:p>
        </w:tc>
        <w:tc>
          <w:tcPr>
            <w:tcW w:w="0" w:type="dxa"/>
            <w:vAlign w:val="bottom"/>
          </w:tcPr>
          <w:p>
            <w:pPr>
              <w:spacing w:after="0"/>
              <w:rPr>
                <w:sz w:val="1"/>
                <w:szCs w:val="1"/>
                <w:color w:val="auto"/>
              </w:rPr>
            </w:pPr>
          </w:p>
        </w:tc>
      </w:tr>
      <w:tr>
        <w:trPr>
          <w:trHeight w:val="190"/>
        </w:trPr>
        <w:tc>
          <w:tcPr>
            <w:tcW w:w="2900" w:type="dxa"/>
            <w:vAlign w:val="bottom"/>
          </w:tcPr>
          <w:p>
            <w:pPr>
              <w:ind w:left="240"/>
              <w:spacing w:after="0"/>
              <w:rPr>
                <w:sz w:val="20"/>
                <w:szCs w:val="20"/>
                <w:color w:val="auto"/>
              </w:rPr>
            </w:pPr>
            <w:r>
              <w:rPr>
                <w:rFonts w:ascii="Arial" w:cs="Arial" w:eastAsia="Arial" w:hAnsi="Arial"/>
                <w:sz w:val="14"/>
                <w:szCs w:val="14"/>
                <w:color w:val="auto"/>
              </w:rPr>
              <w:t>The Hub on Causeway - Podium</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42,916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76,875</w:t>
            </w:r>
          </w:p>
        </w:tc>
        <w:tc>
          <w:tcPr>
            <w:tcW w:w="20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September 8, 2025</w:t>
            </w:r>
          </w:p>
        </w:tc>
        <w:tc>
          <w:tcPr>
            <w:tcW w:w="880" w:type="dxa"/>
            <w:vAlign w:val="bottom"/>
          </w:tcPr>
          <w:p>
            <w:pPr>
              <w:jc w:val="right"/>
              <w:spacing w:after="0"/>
              <w:rPr>
                <w:sz w:val="20"/>
                <w:szCs w:val="20"/>
                <w:color w:val="auto"/>
              </w:rPr>
            </w:pPr>
            <w:r>
              <w:rPr>
                <w:rFonts w:ascii="Arial" w:cs="Arial" w:eastAsia="Arial" w:hAnsi="Arial"/>
                <w:sz w:val="14"/>
                <w:szCs w:val="14"/>
                <w:color w:val="auto"/>
              </w:rPr>
              <w:t>7.35 %</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7.75 %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Hub50House</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38,116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91,974</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June 17, 2032</w:t>
            </w:r>
          </w:p>
        </w:tc>
        <w:tc>
          <w:tcPr>
            <w:tcW w:w="880" w:type="dxa"/>
            <w:vAlign w:val="bottom"/>
          </w:tcPr>
          <w:p>
            <w:pPr>
              <w:jc w:val="right"/>
              <w:spacing w:after="0"/>
              <w:rPr>
                <w:sz w:val="20"/>
                <w:szCs w:val="20"/>
                <w:color w:val="auto"/>
              </w:rPr>
            </w:pPr>
            <w:r>
              <w:rPr>
                <w:rFonts w:ascii="Arial" w:cs="Arial" w:eastAsia="Arial" w:hAnsi="Arial"/>
                <w:sz w:val="14"/>
                <w:szCs w:val="14"/>
                <w:color w:val="auto"/>
              </w:rPr>
              <w:t>4.43 %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4.51 %</w:t>
            </w:r>
          </w:p>
        </w:tc>
        <w:tc>
          <w:tcPr>
            <w:tcW w:w="0" w:type="dxa"/>
            <w:vAlign w:val="bottom"/>
          </w:tcPr>
          <w:p>
            <w:pPr>
              <w:spacing w:after="0"/>
              <w:rPr>
                <w:sz w:val="1"/>
                <w:szCs w:val="1"/>
                <w:color w:val="auto"/>
              </w:rPr>
            </w:pPr>
          </w:p>
        </w:tc>
      </w:tr>
      <w:tr>
        <w:trPr>
          <w:trHeight w:val="222"/>
        </w:trPr>
        <w:tc>
          <w:tcPr>
            <w:tcW w:w="2900" w:type="dxa"/>
            <w:vAlign w:val="bottom"/>
          </w:tcPr>
          <w:p>
            <w:pPr>
              <w:ind w:left="240"/>
              <w:spacing w:after="0"/>
              <w:rPr>
                <w:sz w:val="20"/>
                <w:szCs w:val="20"/>
                <w:color w:val="auto"/>
              </w:rPr>
            </w:pPr>
            <w:r>
              <w:rPr>
                <w:rFonts w:ascii="Arial" w:cs="Arial" w:eastAsia="Arial" w:hAnsi="Arial"/>
                <w:sz w:val="14"/>
                <w:szCs w:val="14"/>
                <w:color w:val="auto"/>
              </w:rPr>
              <w:t>Hotel Air Rights</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2900" w:type="dxa"/>
            <w:vAlign w:val="bottom"/>
          </w:tcPr>
          <w:p>
            <w:pPr>
              <w:ind w:left="240"/>
              <w:spacing w:after="0"/>
              <w:rPr>
                <w:sz w:val="20"/>
                <w:szCs w:val="20"/>
                <w:color w:val="auto"/>
              </w:rPr>
            </w:pPr>
            <w:r>
              <w:rPr>
                <w:rFonts w:ascii="Arial" w:cs="Arial" w:eastAsia="Arial" w:hAnsi="Arial"/>
                <w:sz w:val="14"/>
                <w:szCs w:val="14"/>
                <w:color w:val="auto"/>
              </w:rPr>
              <w:t>1265 Main Street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16,871</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January 1, 2032</w:t>
            </w:r>
          </w:p>
        </w:tc>
        <w:tc>
          <w:tcPr>
            <w:tcW w:w="880" w:type="dxa"/>
            <w:vAlign w:val="bottom"/>
          </w:tcPr>
          <w:p>
            <w:pPr>
              <w:jc w:val="right"/>
              <w:spacing w:after="0"/>
              <w:rPr>
                <w:sz w:val="20"/>
                <w:szCs w:val="20"/>
                <w:color w:val="auto"/>
              </w:rPr>
            </w:pPr>
            <w:r>
              <w:rPr>
                <w:rFonts w:ascii="Arial" w:cs="Arial" w:eastAsia="Arial" w:hAnsi="Arial"/>
                <w:sz w:val="14"/>
                <w:szCs w:val="14"/>
                <w:color w:val="auto"/>
              </w:rPr>
              <w:t>3.77 %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3.84 %</w:t>
            </w:r>
          </w:p>
        </w:tc>
        <w:tc>
          <w:tcPr>
            <w:tcW w:w="0" w:type="dxa"/>
            <w:vAlign w:val="bottom"/>
          </w:tcPr>
          <w:p>
            <w:pPr>
              <w:spacing w:after="0"/>
              <w:rPr>
                <w:sz w:val="1"/>
                <w:szCs w:val="1"/>
                <w:color w:val="auto"/>
              </w:rPr>
            </w:pPr>
          </w:p>
        </w:tc>
      </w:tr>
      <w:tr>
        <w:trPr>
          <w:trHeight w:val="208"/>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Los Angeles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240"/>
              <w:spacing w:after="0"/>
              <w:rPr>
                <w:sz w:val="20"/>
                <w:szCs w:val="20"/>
                <w:color w:val="auto"/>
              </w:rPr>
            </w:pPr>
            <w:r>
              <w:rPr>
                <w:rFonts w:ascii="Arial" w:cs="Arial" w:eastAsia="Arial" w:hAnsi="Arial"/>
                <w:sz w:val="14"/>
                <w:szCs w:val="14"/>
                <w:color w:val="auto"/>
              </w:rPr>
              <w:t>Colorado Center</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234,972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274,745</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August 9, 2027</w:t>
            </w:r>
          </w:p>
        </w:tc>
        <w:tc>
          <w:tcPr>
            <w:tcW w:w="880" w:type="dxa"/>
            <w:vAlign w:val="bottom"/>
          </w:tcPr>
          <w:p>
            <w:pPr>
              <w:jc w:val="right"/>
              <w:spacing w:after="0"/>
              <w:rPr>
                <w:sz w:val="20"/>
                <w:szCs w:val="20"/>
                <w:color w:val="auto"/>
              </w:rPr>
            </w:pPr>
            <w:r>
              <w:rPr>
                <w:rFonts w:ascii="Arial" w:cs="Arial" w:eastAsia="Arial" w:hAnsi="Arial"/>
                <w:sz w:val="14"/>
                <w:szCs w:val="14"/>
                <w:color w:val="auto"/>
              </w:rPr>
              <w:t>3.56 %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Beach Cities Media Center</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27,051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8"/>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New York</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240"/>
              <w:spacing w:after="0"/>
              <w:rPr>
                <w:sz w:val="20"/>
                <w:szCs w:val="20"/>
                <w:color w:val="auto"/>
              </w:rPr>
            </w:pPr>
            <w:r>
              <w:rPr>
                <w:rFonts w:ascii="Arial" w:cs="Arial" w:eastAsia="Arial" w:hAnsi="Arial"/>
                <w:sz w:val="14"/>
                <w:szCs w:val="14"/>
                <w:color w:val="auto"/>
              </w:rPr>
              <w:t xml:space="preserve">360 Park Avenue South </w:t>
            </w:r>
            <w:r>
              <w:rPr>
                <w:rFonts w:ascii="Arial" w:cs="Arial" w:eastAsia="Arial" w:hAnsi="Arial"/>
                <w:sz w:val="18"/>
                <w:szCs w:val="18"/>
                <w:color w:val="auto"/>
                <w:vertAlign w:val="superscript"/>
              </w:rPr>
              <w:t>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71.11 %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69,538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156,297</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December 14, 2024</w:t>
            </w:r>
          </w:p>
        </w:tc>
        <w:tc>
          <w:tcPr>
            <w:tcW w:w="880" w:type="dxa"/>
            <w:vAlign w:val="bottom"/>
          </w:tcPr>
          <w:p>
            <w:pPr>
              <w:jc w:val="right"/>
              <w:spacing w:after="0"/>
              <w:rPr>
                <w:sz w:val="20"/>
                <w:szCs w:val="20"/>
                <w:color w:val="auto"/>
              </w:rPr>
            </w:pPr>
            <w:r>
              <w:rPr>
                <w:rFonts w:ascii="Arial" w:cs="Arial" w:eastAsia="Arial" w:hAnsi="Arial"/>
                <w:sz w:val="14"/>
                <w:szCs w:val="14"/>
                <w:color w:val="auto"/>
              </w:rPr>
              <w:t>7.70 %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8.16 %</w:t>
            </w:r>
          </w:p>
        </w:tc>
        <w:tc>
          <w:tcPr>
            <w:tcW w:w="0" w:type="dxa"/>
            <w:vAlign w:val="bottom"/>
          </w:tcPr>
          <w:p>
            <w:pPr>
              <w:spacing w:after="0"/>
              <w:rPr>
                <w:sz w:val="1"/>
                <w:szCs w:val="1"/>
                <w:color w:val="auto"/>
              </w:rPr>
            </w:pPr>
          </w:p>
        </w:tc>
      </w:tr>
      <w:tr>
        <w:trPr>
          <w:trHeight w:val="190"/>
        </w:trPr>
        <w:tc>
          <w:tcPr>
            <w:tcW w:w="2900" w:type="dxa"/>
            <w:vAlign w:val="bottom"/>
          </w:tcPr>
          <w:p>
            <w:pPr>
              <w:ind w:left="240"/>
              <w:spacing w:after="0"/>
              <w:rPr>
                <w:sz w:val="20"/>
                <w:szCs w:val="20"/>
                <w:color w:val="auto"/>
              </w:rPr>
            </w:pPr>
            <w:r>
              <w:rPr>
                <w:rFonts w:ascii="Arial" w:cs="Arial" w:eastAsia="Arial" w:hAnsi="Arial"/>
                <w:sz w:val="14"/>
                <w:szCs w:val="14"/>
                <w:color w:val="auto"/>
              </w:rPr>
              <w:t>Dock 72</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(7,065)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98,910</w:t>
            </w:r>
          </w:p>
        </w:tc>
        <w:tc>
          <w:tcPr>
            <w:tcW w:w="20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December 18, 2025</w:t>
            </w:r>
          </w:p>
        </w:tc>
        <w:tc>
          <w:tcPr>
            <w:tcW w:w="880" w:type="dxa"/>
            <w:vAlign w:val="bottom"/>
          </w:tcPr>
          <w:p>
            <w:pPr>
              <w:jc w:val="right"/>
              <w:spacing w:after="0"/>
              <w:rPr>
                <w:sz w:val="20"/>
                <w:szCs w:val="20"/>
                <w:color w:val="auto"/>
              </w:rPr>
            </w:pPr>
            <w:r>
              <w:rPr>
                <w:rFonts w:ascii="Arial" w:cs="Arial" w:eastAsia="Arial" w:hAnsi="Arial"/>
                <w:sz w:val="14"/>
                <w:szCs w:val="14"/>
                <w:color w:val="auto"/>
              </w:rPr>
              <w:t>7.75 %</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8.02 %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200 Fifth Avenue</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26.69 %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68,563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152,188</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November 24, 2028</w:t>
            </w:r>
          </w:p>
        </w:tc>
        <w:tc>
          <w:tcPr>
            <w:tcW w:w="880" w:type="dxa"/>
            <w:vAlign w:val="bottom"/>
          </w:tcPr>
          <w:p>
            <w:pPr>
              <w:jc w:val="right"/>
              <w:spacing w:after="0"/>
              <w:rPr>
                <w:sz w:val="20"/>
                <w:szCs w:val="20"/>
                <w:color w:val="auto"/>
              </w:rPr>
            </w:pPr>
            <w:r>
              <w:rPr>
                <w:rFonts w:ascii="Arial" w:cs="Arial" w:eastAsia="Arial" w:hAnsi="Arial"/>
                <w:sz w:val="14"/>
                <w:szCs w:val="14"/>
                <w:color w:val="auto"/>
              </w:rPr>
              <w:t>4.34 %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5.60 %</w:t>
            </w:r>
          </w:p>
        </w:tc>
        <w:tc>
          <w:tcPr>
            <w:tcW w:w="0" w:type="dxa"/>
            <w:vAlign w:val="bottom"/>
          </w:tcPr>
          <w:p>
            <w:pPr>
              <w:spacing w:after="0"/>
              <w:rPr>
                <w:sz w:val="1"/>
                <w:szCs w:val="1"/>
                <w:color w:val="auto"/>
              </w:rPr>
            </w:pPr>
          </w:p>
        </w:tc>
      </w:tr>
      <w:tr>
        <w:trPr>
          <w:trHeight w:val="217"/>
        </w:trPr>
        <w:tc>
          <w:tcPr>
            <w:tcW w:w="2900" w:type="dxa"/>
            <w:vAlign w:val="bottom"/>
          </w:tcPr>
          <w:p>
            <w:pPr>
              <w:ind w:left="240"/>
              <w:spacing w:after="0"/>
              <w:rPr>
                <w:sz w:val="20"/>
                <w:szCs w:val="20"/>
                <w:color w:val="auto"/>
              </w:rPr>
            </w:pPr>
            <w:r>
              <w:rPr>
                <w:rFonts w:ascii="Arial" w:cs="Arial" w:eastAsia="Arial" w:hAnsi="Arial"/>
                <w:sz w:val="14"/>
                <w:szCs w:val="14"/>
                <w:color w:val="auto"/>
              </w:rPr>
              <w:t xml:space="preserve">3 Hudson Boulevard </w:t>
            </w:r>
            <w:r>
              <w:rPr>
                <w:rFonts w:ascii="Arial" w:cs="Arial" w:eastAsia="Arial" w:hAnsi="Arial"/>
                <w:sz w:val="18"/>
                <w:szCs w:val="18"/>
                <w:color w:val="auto"/>
                <w:vertAlign w:val="superscript"/>
              </w:rPr>
              <w:t>5</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25.00 %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113,288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August 7, 2024</w:t>
            </w:r>
          </w:p>
        </w:tc>
        <w:tc>
          <w:tcPr>
            <w:tcW w:w="880" w:type="dxa"/>
            <w:vAlign w:val="bottom"/>
          </w:tcPr>
          <w:p>
            <w:pPr>
              <w:jc w:val="right"/>
              <w:spacing w:after="0"/>
              <w:rPr>
                <w:sz w:val="20"/>
                <w:szCs w:val="20"/>
                <w:color w:val="auto"/>
              </w:rPr>
            </w:pPr>
            <w:r>
              <w:rPr>
                <w:rFonts w:ascii="Arial" w:cs="Arial" w:eastAsia="Arial" w:hAnsi="Arial"/>
                <w:sz w:val="14"/>
                <w:szCs w:val="14"/>
                <w:color w:val="auto"/>
              </w:rPr>
              <w:t>11.24 %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11.24 %</w:t>
            </w:r>
          </w:p>
        </w:tc>
        <w:tc>
          <w:tcPr>
            <w:tcW w:w="0" w:type="dxa"/>
            <w:vAlign w:val="bottom"/>
          </w:tcPr>
          <w:p>
            <w:pPr>
              <w:spacing w:after="0"/>
              <w:rPr>
                <w:sz w:val="1"/>
                <w:szCs w:val="1"/>
                <w:color w:val="auto"/>
              </w:rPr>
            </w:pPr>
          </w:p>
        </w:tc>
      </w:tr>
      <w:tr>
        <w:trPr>
          <w:trHeight w:val="194"/>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San Francisco</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240"/>
              <w:spacing w:after="0"/>
              <w:rPr>
                <w:sz w:val="20"/>
                <w:szCs w:val="20"/>
                <w:color w:val="auto"/>
              </w:rPr>
            </w:pPr>
            <w:r>
              <w:rPr>
                <w:rFonts w:ascii="Arial" w:cs="Arial" w:eastAsia="Arial" w:hAnsi="Arial"/>
                <w:sz w:val="14"/>
                <w:szCs w:val="14"/>
                <w:color w:val="auto"/>
              </w:rPr>
              <w:t>Platform 16</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55.00 %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55,381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Gateway Commons</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393,679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751 Gateway</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49.00 %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98,882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8"/>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Seattle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Pr>
          <w:p>
            <w:pPr>
              <w:ind w:left="240"/>
              <w:spacing w:after="0"/>
              <w:rPr>
                <w:sz w:val="20"/>
                <w:szCs w:val="20"/>
                <w:color w:val="auto"/>
              </w:rPr>
            </w:pPr>
            <w:r>
              <w:rPr>
                <w:rFonts w:ascii="Arial" w:cs="Arial" w:eastAsia="Arial" w:hAnsi="Arial"/>
                <w:sz w:val="14"/>
                <w:szCs w:val="14"/>
                <w:color w:val="auto"/>
              </w:rPr>
              <w:t xml:space="preserve">Safeco Plaza </w:t>
            </w:r>
            <w:r>
              <w:rPr>
                <w:rFonts w:ascii="Arial" w:cs="Arial" w:eastAsia="Arial" w:hAnsi="Arial"/>
                <w:sz w:val="18"/>
                <w:szCs w:val="18"/>
                <w:color w:val="auto"/>
                <w:vertAlign w:val="superscript"/>
              </w:rPr>
              <w:t>6</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33.67 %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47,510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83,955</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September 1, 2026</w:t>
            </w:r>
          </w:p>
        </w:tc>
        <w:tc>
          <w:tcPr>
            <w:tcW w:w="880" w:type="dxa"/>
            <w:vAlign w:val="bottom"/>
          </w:tcPr>
          <w:p>
            <w:pPr>
              <w:jc w:val="right"/>
              <w:spacing w:after="0"/>
              <w:rPr>
                <w:sz w:val="20"/>
                <w:szCs w:val="20"/>
                <w:color w:val="auto"/>
              </w:rPr>
            </w:pPr>
            <w:r>
              <w:rPr>
                <w:rFonts w:ascii="Arial" w:cs="Arial" w:eastAsia="Arial" w:hAnsi="Arial"/>
                <w:sz w:val="14"/>
                <w:szCs w:val="14"/>
                <w:color w:val="auto"/>
              </w:rPr>
              <w:t>4.82 %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6.68 %</w:t>
            </w:r>
          </w:p>
        </w:tc>
        <w:tc>
          <w:tcPr>
            <w:tcW w:w="0" w:type="dxa"/>
            <w:vAlign w:val="bottom"/>
          </w:tcPr>
          <w:p>
            <w:pPr>
              <w:spacing w:after="0"/>
              <w:rPr>
                <w:sz w:val="1"/>
                <w:szCs w:val="1"/>
                <w:color w:val="auto"/>
              </w:rPr>
            </w:pPr>
          </w:p>
        </w:tc>
      </w:tr>
      <w:tr>
        <w:trPr>
          <w:trHeight w:val="194"/>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Washington, DC</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900" w:type="dxa"/>
            <w:vAlign w:val="bottom"/>
          </w:tcPr>
          <w:p>
            <w:pPr>
              <w:ind w:left="240"/>
              <w:spacing w:after="0" w:line="151" w:lineRule="exact"/>
              <w:rPr>
                <w:sz w:val="20"/>
                <w:szCs w:val="20"/>
                <w:color w:val="auto"/>
              </w:rPr>
            </w:pPr>
            <w:r>
              <w:rPr>
                <w:rFonts w:ascii="Arial" w:cs="Arial" w:eastAsia="Arial" w:hAnsi="Arial"/>
                <w:sz w:val="14"/>
                <w:szCs w:val="14"/>
                <w:color w:val="auto"/>
              </w:rPr>
              <w:t>7750 Wisconsin Avenue (Marriott</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48,814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125,663</w:t>
            </w:r>
          </w:p>
        </w:tc>
        <w:tc>
          <w:tcPr>
            <w:tcW w:w="200" w:type="dxa"/>
            <w:vAlign w:val="bottom"/>
          </w:tcPr>
          <w:p>
            <w:pPr>
              <w:spacing w:after="0"/>
              <w:rPr>
                <w:sz w:val="13"/>
                <w:szCs w:val="13"/>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April 26, 2025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6.46 %</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6.61 %</w:t>
            </w:r>
          </w:p>
        </w:tc>
        <w:tc>
          <w:tcPr>
            <w:tcW w:w="0" w:type="dxa"/>
            <w:vAlign w:val="bottom"/>
          </w:tcPr>
          <w:p>
            <w:pPr>
              <w:spacing w:after="0"/>
              <w:rPr>
                <w:sz w:val="1"/>
                <w:szCs w:val="1"/>
                <w:color w:val="auto"/>
              </w:rPr>
            </w:pPr>
          </w:p>
        </w:tc>
      </w:tr>
      <w:tr>
        <w:trPr>
          <w:trHeight w:val="190"/>
        </w:trPr>
        <w:tc>
          <w:tcPr>
            <w:tcW w:w="2900" w:type="dxa"/>
            <w:vAlign w:val="bottom"/>
          </w:tcPr>
          <w:p>
            <w:pPr>
              <w:ind w:left="400"/>
              <w:spacing w:after="0"/>
              <w:rPr>
                <w:sz w:val="20"/>
                <w:szCs w:val="20"/>
                <w:color w:val="auto"/>
              </w:rPr>
            </w:pPr>
            <w:r>
              <w:rPr>
                <w:rFonts w:ascii="Arial" w:cs="Arial" w:eastAsia="Arial" w:hAnsi="Arial"/>
                <w:sz w:val="14"/>
                <w:szCs w:val="14"/>
                <w:color w:val="auto"/>
              </w:rPr>
              <w:t>International Headquarters)</w:t>
            </w: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tcPr>
          <w:p>
            <w:pPr>
              <w:ind w:left="240"/>
              <w:spacing w:after="0"/>
              <w:rPr>
                <w:sz w:val="20"/>
                <w:szCs w:val="20"/>
                <w:color w:val="auto"/>
              </w:rPr>
            </w:pPr>
            <w:r>
              <w:rPr>
                <w:rFonts w:ascii="Arial" w:cs="Arial" w:eastAsia="Arial" w:hAnsi="Arial"/>
                <w:sz w:val="14"/>
                <w:szCs w:val="14"/>
                <w:color w:val="auto"/>
              </w:rPr>
              <w:t>1001 6th Street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45,955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13100 &amp; 13150 Worldgate Drive</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Market Square North</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62,373</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November 10, 2025</w:t>
            </w:r>
          </w:p>
        </w:tc>
        <w:tc>
          <w:tcPr>
            <w:tcW w:w="880" w:type="dxa"/>
            <w:vAlign w:val="bottom"/>
          </w:tcPr>
          <w:p>
            <w:pPr>
              <w:jc w:val="right"/>
              <w:spacing w:after="0"/>
              <w:rPr>
                <w:sz w:val="20"/>
                <w:szCs w:val="20"/>
                <w:color w:val="auto"/>
              </w:rPr>
            </w:pPr>
            <w:r>
              <w:rPr>
                <w:rFonts w:ascii="Arial" w:cs="Arial" w:eastAsia="Arial" w:hAnsi="Arial"/>
                <w:sz w:val="14"/>
                <w:szCs w:val="14"/>
                <w:color w:val="auto"/>
              </w:rPr>
              <w:t>7.52 %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7.70 %</w:t>
            </w:r>
          </w:p>
        </w:tc>
        <w:tc>
          <w:tcPr>
            <w:tcW w:w="0" w:type="dxa"/>
            <w:vAlign w:val="bottom"/>
          </w:tcPr>
          <w:p>
            <w:pPr>
              <w:spacing w:after="0"/>
              <w:rPr>
                <w:sz w:val="1"/>
                <w:szCs w:val="1"/>
                <w:color w:val="auto"/>
              </w:rPr>
            </w:pPr>
          </w:p>
        </w:tc>
      </w:tr>
      <w:tr>
        <w:trPr>
          <w:trHeight w:val="203"/>
        </w:trPr>
        <w:tc>
          <w:tcPr>
            <w:tcW w:w="2900" w:type="dxa"/>
            <w:vAlign w:val="bottom"/>
          </w:tcPr>
          <w:p>
            <w:pPr>
              <w:ind w:left="240"/>
              <w:spacing w:after="0"/>
              <w:rPr>
                <w:sz w:val="20"/>
                <w:szCs w:val="20"/>
                <w:color w:val="auto"/>
              </w:rPr>
            </w:pPr>
            <w:r>
              <w:rPr>
                <w:rFonts w:ascii="Arial" w:cs="Arial" w:eastAsia="Arial" w:hAnsi="Arial"/>
                <w:sz w:val="14"/>
                <w:szCs w:val="14"/>
                <w:color w:val="auto"/>
              </w:rPr>
              <w:t>Wisconsin Place Parking Facility</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33.33 %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29,969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5"/>
        </w:trPr>
        <w:tc>
          <w:tcPr>
            <w:tcW w:w="2900" w:type="dxa"/>
            <w:vAlign w:val="bottom"/>
          </w:tcPr>
          <w:p>
            <w:pPr>
              <w:ind w:left="240"/>
              <w:spacing w:after="0"/>
              <w:rPr>
                <w:sz w:val="20"/>
                <w:szCs w:val="20"/>
                <w:color w:val="auto"/>
              </w:rPr>
            </w:pPr>
            <w:r>
              <w:rPr>
                <w:rFonts w:ascii="Arial" w:cs="Arial" w:eastAsia="Arial" w:hAnsi="Arial"/>
                <w:sz w:val="14"/>
                <w:szCs w:val="14"/>
                <w:color w:val="auto"/>
              </w:rPr>
              <w:t xml:space="preserve">500 North Capitol Street, N.W. </w:t>
            </w:r>
            <w:r>
              <w:rPr>
                <w:rFonts w:ascii="Arial" w:cs="Arial" w:eastAsia="Arial" w:hAnsi="Arial"/>
                <w:sz w:val="18"/>
                <w:szCs w:val="18"/>
                <w:color w:val="auto"/>
                <w:vertAlign w:val="superscript"/>
              </w:rPr>
              <w:t>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30.00 %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31,252</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June 5, 2026</w:t>
            </w:r>
          </w:p>
        </w:tc>
        <w:tc>
          <w:tcPr>
            <w:tcW w:w="880" w:type="dxa"/>
            <w:vAlign w:val="bottom"/>
          </w:tcPr>
          <w:p>
            <w:pPr>
              <w:jc w:val="right"/>
              <w:spacing w:after="0"/>
              <w:rPr>
                <w:sz w:val="20"/>
                <w:szCs w:val="20"/>
                <w:color w:val="auto"/>
              </w:rPr>
            </w:pPr>
            <w:r>
              <w:rPr>
                <w:rFonts w:ascii="Arial" w:cs="Arial" w:eastAsia="Arial" w:hAnsi="Arial"/>
                <w:sz w:val="14"/>
                <w:szCs w:val="14"/>
                <w:color w:val="auto"/>
              </w:rPr>
              <w:t>6.83 %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7.16 %</w:t>
            </w:r>
          </w:p>
        </w:tc>
        <w:tc>
          <w:tcPr>
            <w:tcW w:w="0" w:type="dxa"/>
            <w:vAlign w:val="bottom"/>
          </w:tcPr>
          <w:p>
            <w:pPr>
              <w:spacing w:after="0"/>
              <w:rPr>
                <w:sz w:val="1"/>
                <w:szCs w:val="1"/>
                <w:color w:val="auto"/>
              </w:rPr>
            </w:pPr>
          </w:p>
        </w:tc>
      </w:tr>
      <w:tr>
        <w:trPr>
          <w:trHeight w:val="194"/>
        </w:trPr>
        <w:tc>
          <w:tcPr>
            <w:tcW w:w="2900" w:type="dxa"/>
            <w:vAlign w:val="bottom"/>
          </w:tcPr>
          <w:p>
            <w:pPr>
              <w:ind w:left="240"/>
              <w:spacing w:after="0"/>
              <w:rPr>
                <w:sz w:val="20"/>
                <w:szCs w:val="20"/>
                <w:color w:val="auto"/>
              </w:rPr>
            </w:pPr>
            <w:r>
              <w:rPr>
                <w:rFonts w:ascii="Arial" w:cs="Arial" w:eastAsia="Arial" w:hAnsi="Arial"/>
                <w:sz w:val="14"/>
                <w:szCs w:val="14"/>
                <w:color w:val="auto"/>
              </w:rPr>
              <w:t>Skymark - Reston Next Residential</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20.00 %</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24,790</w:t>
            </w:r>
          </w:p>
        </w:tc>
        <w:tc>
          <w:tcPr>
            <w:tcW w:w="20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May 13, 2026</w:t>
            </w:r>
          </w:p>
        </w:tc>
        <w:tc>
          <w:tcPr>
            <w:tcW w:w="880" w:type="dxa"/>
            <w:vAlign w:val="bottom"/>
          </w:tcPr>
          <w:p>
            <w:pPr>
              <w:jc w:val="right"/>
              <w:spacing w:after="0"/>
              <w:rPr>
                <w:sz w:val="20"/>
                <w:szCs w:val="20"/>
                <w:color w:val="auto"/>
              </w:rPr>
            </w:pPr>
            <w:r>
              <w:rPr>
                <w:rFonts w:ascii="Arial" w:cs="Arial" w:eastAsia="Arial" w:hAnsi="Arial"/>
                <w:sz w:val="14"/>
                <w:szCs w:val="14"/>
                <w:color w:val="auto"/>
              </w:rPr>
              <w:t>7.19 %</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7.51 %</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1,391,149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900" w:type="dxa"/>
            <w:vAlign w:val="bottom"/>
          </w:tcPr>
          <w:p>
            <w:pPr>
              <w:ind w:left="20"/>
              <w:spacing w:after="0" w:line="157" w:lineRule="exact"/>
              <w:rPr>
                <w:sz w:val="20"/>
                <w:szCs w:val="20"/>
                <w:color w:val="auto"/>
              </w:rPr>
            </w:pPr>
            <w:r>
              <w:rPr>
                <w:rFonts w:ascii="Arial" w:cs="Arial" w:eastAsia="Arial" w:hAnsi="Arial"/>
                <w:sz w:val="14"/>
                <w:szCs w:val="14"/>
                <w:color w:val="auto"/>
              </w:rPr>
              <w:t>Investments with deficit balances reflected</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30,737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Arial" w:cs="Arial" w:eastAsia="Arial" w:hAnsi="Arial"/>
                <w:sz w:val="14"/>
                <w:szCs w:val="14"/>
                <w:color w:val="auto"/>
              </w:rPr>
              <w:t>within Other Liabilities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line="129" w:lineRule="exact"/>
              <w:rPr>
                <w:sz w:val="20"/>
                <w:szCs w:val="20"/>
                <w:color w:val="auto"/>
              </w:rPr>
            </w:pPr>
            <w:r>
              <w:rPr>
                <w:rFonts w:ascii="Arial" w:cs="Arial" w:eastAsia="Arial" w:hAnsi="Arial"/>
                <w:sz w:val="14"/>
                <w:szCs w:val="14"/>
                <w:color w:val="auto"/>
              </w:rPr>
              <w:t>Investments in Unconsolidated Joint</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1,421,886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900" w:type="dxa"/>
            <w:vAlign w:val="bottom"/>
          </w:tcPr>
          <w:p>
            <w:pPr>
              <w:ind w:left="20"/>
              <w:spacing w:after="0"/>
              <w:rPr>
                <w:sz w:val="20"/>
                <w:szCs w:val="20"/>
                <w:color w:val="auto"/>
              </w:rPr>
            </w:pPr>
            <w:r>
              <w:rPr>
                <w:rFonts w:ascii="Arial" w:cs="Arial" w:eastAsia="Arial" w:hAnsi="Arial"/>
                <w:sz w:val="14"/>
                <w:szCs w:val="14"/>
                <w:color w:val="auto"/>
              </w:rPr>
              <w:t>Mortgage/Construction Loans Payable, Net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1,382,412</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282575</wp:posOffset>
            </wp:positionV>
            <wp:extent cx="6283325" cy="1920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3325" cy="192024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265" w:right="339" w:bottom="1440" w:gutter="0" w:footer="0" w:header="0"/>
          <w:type w:val="continuous"/>
        </w:sectPr>
      </w:pPr>
    </w:p>
    <w:bookmarkStart w:id="44" w:name="page45"/>
    <w:bookmarkEnd w:id="4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Unconsolidated joint ventures (continued)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FLOATING AND FIXED RATE DEBT ANALYSIS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tcBorders>
              <w:top w:val="single" w:sz="8" w:color="auto"/>
              <w:bottom w:val="single" w:sz="8" w:color="auto"/>
            </w:tcBorders>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 of Total Debt</w:t>
            </w:r>
          </w:p>
        </w:tc>
        <w:tc>
          <w:tcPr>
            <w:tcW w:w="1900" w:type="dxa"/>
            <w:vAlign w:val="bottom"/>
            <w:gridSpan w:val="2"/>
          </w:tcPr>
          <w:p>
            <w:pPr>
              <w:ind w:left="460"/>
              <w:spacing w:after="0"/>
              <w:rPr>
                <w:sz w:val="20"/>
                <w:szCs w:val="20"/>
                <w:color w:val="auto"/>
              </w:rPr>
            </w:pPr>
            <w:r>
              <w:rPr>
                <w:rFonts w:ascii="Arial" w:cs="Arial" w:eastAsia="Arial" w:hAnsi="Arial"/>
                <w:sz w:val="14"/>
                <w:szCs w:val="14"/>
                <w:b w:val="1"/>
                <w:bCs w:val="1"/>
                <w:color w:val="auto"/>
              </w:rPr>
              <w:t>Stated Rate</w:t>
            </w:r>
          </w:p>
        </w:tc>
        <w:tc>
          <w:tcPr>
            <w:tcW w:w="1880" w:type="dxa"/>
            <w:vAlign w:val="bottom"/>
            <w:gridSpan w:val="2"/>
          </w:tcPr>
          <w:p>
            <w:pPr>
              <w:ind w:left="420"/>
              <w:spacing w:after="0" w:line="198" w:lineRule="exact"/>
              <w:rPr>
                <w:sz w:val="20"/>
                <w:szCs w:val="20"/>
                <w:color w:val="auto"/>
              </w:rPr>
            </w:pPr>
            <w:r>
              <w:rPr>
                <w:rFonts w:ascii="Arial" w:cs="Arial" w:eastAsia="Arial" w:hAnsi="Arial"/>
                <w:sz w:val="14"/>
                <w:szCs w:val="14"/>
                <w:b w:val="1"/>
                <w:bCs w:val="1"/>
                <w:color w:val="auto"/>
              </w:rPr>
              <w:t xml:space="preserve">GAAP Rate </w:t>
            </w:r>
            <w:r>
              <w:rPr>
                <w:rFonts w:ascii="Arial" w:cs="Arial" w:eastAsia="Arial" w:hAnsi="Arial"/>
                <w:sz w:val="18"/>
                <w:szCs w:val="18"/>
                <w:b w:val="1"/>
                <w:bCs w:val="1"/>
                <w:color w:val="auto"/>
                <w:vertAlign w:val="superscript"/>
              </w:rPr>
              <w:t>2</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Maturity (years)</w:t>
            </w:r>
          </w:p>
        </w:tc>
      </w:tr>
      <w:tr>
        <w:trPr>
          <w:trHeight w:val="188"/>
        </w:trPr>
        <w:tc>
          <w:tcPr>
            <w:tcW w:w="3960" w:type="dxa"/>
            <w:vAlign w:val="bottom"/>
          </w:tcPr>
          <w:p>
            <w:pPr>
              <w:ind w:left="20"/>
              <w:spacing w:after="0"/>
              <w:rPr>
                <w:sz w:val="20"/>
                <w:szCs w:val="20"/>
                <w:color w:val="auto"/>
              </w:rPr>
            </w:pPr>
            <w:r>
              <w:rPr>
                <w:rFonts w:ascii="Arial" w:cs="Arial" w:eastAsia="Arial" w:hAnsi="Arial"/>
                <w:sz w:val="14"/>
                <w:szCs w:val="14"/>
                <w:color w:val="auto"/>
              </w:rPr>
              <w:t>Floating Rate Debt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53.42 %</w:t>
            </w:r>
          </w:p>
        </w:tc>
        <w:tc>
          <w:tcPr>
            <w:tcW w:w="2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7.09 %</w:t>
            </w:r>
          </w:p>
        </w:tc>
        <w:tc>
          <w:tcPr>
            <w:tcW w:w="20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7.52 %</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204"/>
        </w:trPr>
        <w:tc>
          <w:tcPr>
            <w:tcW w:w="3960" w:type="dxa"/>
            <w:vAlign w:val="bottom"/>
          </w:tcPr>
          <w:p>
            <w:pPr>
              <w:ind w:left="20"/>
              <w:spacing w:after="0"/>
              <w:rPr>
                <w:sz w:val="20"/>
                <w:szCs w:val="20"/>
                <w:color w:val="auto"/>
              </w:rPr>
            </w:pPr>
            <w:r>
              <w:rPr>
                <w:rFonts w:ascii="Arial" w:cs="Arial" w:eastAsia="Arial" w:hAnsi="Arial"/>
                <w:sz w:val="14"/>
                <w:szCs w:val="14"/>
                <w:color w:val="auto"/>
              </w:rPr>
              <w:t>Fixed Rate Debt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46.58 %</w:t>
            </w:r>
          </w:p>
        </w:tc>
        <w:tc>
          <w:tcPr>
            <w:tcW w:w="2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4.49 %</w:t>
            </w:r>
          </w:p>
        </w:tc>
        <w:tc>
          <w:tcPr>
            <w:tcW w:w="20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4.87 %</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95"/>
        </w:trPr>
        <w:tc>
          <w:tcPr>
            <w:tcW w:w="39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100.00 %</w:t>
            </w: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5.88 %</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6.29 %</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80" w:hanging="72"/>
        <w:spacing w:after="0"/>
        <w:tabs>
          <w:tab w:leader="none" w:pos="80" w:val="left"/>
        </w:tabs>
        <w:numPr>
          <w:ilvl w:val="0"/>
          <w:numId w:val="91"/>
        </w:numPr>
        <w:rPr>
          <w:rFonts w:ascii="Arial" w:cs="Arial" w:eastAsia="Arial" w:hAnsi="Arial"/>
          <w:sz w:val="9"/>
          <w:szCs w:val="9"/>
          <w:color w:val="auto"/>
        </w:rPr>
      </w:pPr>
      <w:r>
        <w:rPr>
          <w:rFonts w:ascii="Arial" w:cs="Arial" w:eastAsia="Arial" w:hAnsi="Arial"/>
          <w:sz w:val="14"/>
          <w:szCs w:val="14"/>
          <w:color w:val="auto"/>
        </w:rPr>
        <w:t>Amounts represent BXP’s share based on its ownership percentage.</w:t>
      </w:r>
    </w:p>
    <w:p>
      <w:pPr>
        <w:spacing w:after="0" w:line="55" w:lineRule="exact"/>
        <w:rPr>
          <w:sz w:val="20"/>
          <w:szCs w:val="20"/>
          <w:color w:val="auto"/>
        </w:rPr>
      </w:pPr>
    </w:p>
    <w:p>
      <w:pPr>
        <w:ind w:left="80" w:right="100" w:hanging="72"/>
        <w:spacing w:after="0" w:line="238" w:lineRule="auto"/>
        <w:tabs>
          <w:tab w:leader="none" w:pos="78"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The GAAP interest rate differs from the stated interest rate due to the inclusion of the amortization of financing charges, which includes mortgage recording fees, the effects of hedging transactions (if any) and adjustments required under Accounting Standards Codification 805 “Business Combinations” to reflect loans at their fair values (if any).</w:t>
      </w:r>
    </w:p>
    <w:p>
      <w:pPr>
        <w:ind w:left="80" w:hanging="72"/>
        <w:spacing w:after="0" w:line="223" w:lineRule="auto"/>
        <w:tabs>
          <w:tab w:leader="none" w:pos="8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On July 18, 2024, the loan maturity date was extended to September 5, 2025.</w:t>
      </w:r>
    </w:p>
    <w:p>
      <w:pPr>
        <w:spacing w:after="0" w:line="32" w:lineRule="exact"/>
        <w:rPr>
          <w:sz w:val="20"/>
          <w:szCs w:val="20"/>
          <w:color w:val="auto"/>
        </w:rPr>
      </w:pPr>
    </w:p>
    <w:p>
      <w:pPr>
        <w:ind w:left="80" w:right="300" w:hanging="72"/>
        <w:spacing w:after="0" w:line="226" w:lineRule="auto"/>
        <w:tabs>
          <w:tab w:leader="none" w:pos="78"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The Company’s partner will fund required capital until their aggregate investment is approximately 29% of all capital contributions; thereafter, the partners will fund required capital according to their percentage interests. See page 15 for more information.</w:t>
      </w:r>
    </w:p>
    <w:p>
      <w:pPr>
        <w:spacing w:after="0" w:line="26" w:lineRule="exact"/>
        <w:rPr>
          <w:sz w:val="20"/>
          <w:szCs w:val="20"/>
          <w:color w:val="auto"/>
        </w:rPr>
      </w:pPr>
    </w:p>
    <w:p>
      <w:pPr>
        <w:ind w:left="80" w:right="460" w:hanging="72"/>
        <w:spacing w:after="0" w:line="239" w:lineRule="auto"/>
        <w:tabs>
          <w:tab w:leader="none" w:pos="78"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The Company has provided $80.0 million of mortgage financing to the joint venture. The loan is reflected as Related Party Note Receivables, Net on the Company’s Consolidated Balance Sheets. As of September 30, 2024, the loan was in a maturity default and had an outstanding balance, including accrued and unpaid interest, and default interest, of approximately $116.0 million.</w:t>
      </w:r>
    </w:p>
    <w:p>
      <w:pPr>
        <w:ind w:left="80" w:hanging="72"/>
        <w:spacing w:after="0" w:line="238" w:lineRule="auto"/>
        <w:tabs>
          <w:tab w:leader="none" w:pos="8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Safeco Plaza entered into an interest rate cap agreement during Q3 2024 that capped SOFR at 2.50%.</w:t>
      </w:r>
    </w:p>
    <w:p>
      <w:pPr>
        <w:spacing w:after="0" w:line="27" w:lineRule="exact"/>
        <w:rPr>
          <w:sz w:val="20"/>
          <w:szCs w:val="20"/>
          <w:color w:val="auto"/>
        </w:rPr>
      </w:pPr>
    </w:p>
    <w:p>
      <w:pPr>
        <w:ind w:left="80" w:right="20" w:hanging="72"/>
        <w:spacing w:after="0" w:line="272" w:lineRule="auto"/>
        <w:tabs>
          <w:tab w:leader="none" w:pos="78" w:val="left"/>
        </w:tabs>
        <w:numPr>
          <w:ilvl w:val="0"/>
          <w:numId w:val="97"/>
        </w:numPr>
        <w:rPr>
          <w:rFonts w:ascii="Arial" w:cs="Arial" w:eastAsia="Arial" w:hAnsi="Arial"/>
          <w:sz w:val="9"/>
          <w:szCs w:val="9"/>
          <w:color w:val="auto"/>
        </w:rPr>
      </w:pPr>
      <w:r>
        <w:rPr>
          <w:rFonts w:ascii="Arial" w:cs="Arial" w:eastAsia="Arial" w:hAnsi="Arial"/>
          <w:sz w:val="14"/>
          <w:szCs w:val="14"/>
          <w:color w:val="auto"/>
        </w:rPr>
        <w:t>The indebtedness consists of (x) a $70.0 million mortgage loan payable (Note A) which bears interest at a fixed rate of 6.23% per annum, and (y) a $35.0 million mortgage loan payable (Note B) which bears interest at a fixed rate of 8.03% per annum. The Company provided $10.5 million (or 30%) of the Note B mortgage financing to the joint venture. The loan is reflected as Related Party Note Receivables, Net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265" w:right="339" w:bottom="1440" w:gutter="0" w:footer="0" w:header="0"/>
        </w:sectPr>
      </w:pPr>
    </w:p>
    <w:bookmarkStart w:id="45" w:name="page46"/>
    <w:bookmarkEnd w:id="45"/>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Unconsolidated joint ventures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RESULTS OF OPERATIONS </w:t>
      </w:r>
      <w:r>
        <w:rPr>
          <w:rFonts w:ascii="Arial" w:cs="Arial" w:eastAsia="Arial" w:hAnsi="Arial"/>
          <w:sz w:val="9"/>
          <w:szCs w:val="9"/>
          <w:b w:val="1"/>
          <w:bCs w:val="1"/>
          <w:i w:val="1"/>
          <w:iCs w:val="1"/>
          <w:color w:val="auto"/>
        </w:rPr>
        <w:t>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San</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color w:val="auto"/>
              </w:rPr>
              <w:t>Washington,</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auto"/>
              </w:rPr>
              <w:t>Boston</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Los Angeles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New York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Seattle</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Francisco</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DC</w:t>
            </w: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26,118</w:t>
            </w:r>
          </w:p>
        </w:tc>
        <w:tc>
          <w:tcPr>
            <w:tcW w:w="1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19,507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23,849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17,662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7,933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20,500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115,569</w:t>
            </w:r>
          </w:p>
        </w:tc>
        <w:tc>
          <w:tcPr>
            <w:tcW w:w="0" w:type="dxa"/>
            <w:vAlign w:val="bottom"/>
          </w:tcPr>
          <w:p>
            <w:pPr>
              <w:spacing w:after="0"/>
              <w:rPr>
                <w:sz w:val="1"/>
                <w:szCs w:val="1"/>
                <w:color w:val="auto"/>
              </w:rPr>
            </w:pPr>
          </w:p>
        </w:tc>
      </w:tr>
      <w:tr>
        <w:trPr>
          <w:trHeight w:val="190"/>
        </w:trPr>
        <w:tc>
          <w:tcPr>
            <w:tcW w:w="336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1,038</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2,633</w:t>
            </w: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3360" w:type="dxa"/>
            <w:vAlign w:val="bottom"/>
          </w:tcPr>
          <w:p>
            <w:pPr>
              <w:ind w:left="220"/>
              <w:spacing w:after="0" w:line="157" w:lineRule="exact"/>
              <w:rPr>
                <w:sz w:val="20"/>
                <w:szCs w:val="20"/>
                <w:color w:val="auto"/>
              </w:rPr>
            </w:pPr>
            <w:r>
              <w:rPr>
                <w:rFonts w:ascii="Arial" w:cs="Arial" w:eastAsia="Arial" w:hAnsi="Arial"/>
                <w:sz w:val="14"/>
                <w:szCs w:val="14"/>
                <w:color w:val="auto"/>
              </w:rPr>
              <w:t>Amortization and accretion related to sales type</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3360" w:type="dxa"/>
            <w:vAlign w:val="bottom"/>
          </w:tcPr>
          <w:p>
            <w:pPr>
              <w:ind w:left="360"/>
              <w:spacing w:after="0"/>
              <w:rPr>
                <w:sz w:val="20"/>
                <w:szCs w:val="20"/>
                <w:color w:val="auto"/>
              </w:rPr>
            </w:pPr>
            <w:r>
              <w:rPr>
                <w:rFonts w:ascii="Arial" w:cs="Arial" w:eastAsia="Arial" w:hAnsi="Arial"/>
                <w:sz w:val="14"/>
                <w:szCs w:val="14"/>
                <w:color w:val="auto"/>
              </w:rPr>
              <w:t>lease</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560"/>
              <w:spacing w:after="0"/>
              <w:rPr>
                <w:sz w:val="20"/>
                <w:szCs w:val="20"/>
                <w:color w:val="auto"/>
              </w:rPr>
            </w:pPr>
            <w:r>
              <w:rPr>
                <w:rFonts w:ascii="Arial" w:cs="Arial" w:eastAsia="Arial" w:hAnsi="Arial"/>
                <w:sz w:val="14"/>
                <w:szCs w:val="14"/>
                <w:color w:val="auto"/>
              </w:rPr>
              <w:t>Total lease revenue</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27,212</w:t>
            </w: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18,620</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27,172</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18,294</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9,143</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20,615</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121,056</w:t>
            </w:r>
          </w:p>
        </w:tc>
        <w:tc>
          <w:tcPr>
            <w:tcW w:w="0" w:type="dxa"/>
            <w:vAlign w:val="bottom"/>
          </w:tcPr>
          <w:p>
            <w:pPr>
              <w:spacing w:after="0"/>
              <w:rPr>
                <w:sz w:val="1"/>
                <w:szCs w:val="1"/>
                <w:color w:val="auto"/>
              </w:rPr>
            </w:pPr>
          </w:p>
        </w:tc>
      </w:tr>
      <w:tr>
        <w:trPr>
          <w:trHeight w:val="204"/>
        </w:trPr>
        <w:tc>
          <w:tcPr>
            <w:tcW w:w="336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207"/>
        </w:trPr>
        <w:tc>
          <w:tcPr>
            <w:tcW w:w="3360" w:type="dxa"/>
            <w:vAlign w:val="bottom"/>
          </w:tcPr>
          <w:p>
            <w:pPr>
              <w:ind w:left="56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28,252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20,424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18,526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9,808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21,450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125,707</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10,053</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9,279</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53,250</w:t>
            </w:r>
          </w:p>
        </w:tc>
        <w:tc>
          <w:tcPr>
            <w:tcW w:w="0" w:type="dxa"/>
            <w:vAlign w:val="bottom"/>
          </w:tcPr>
          <w:p>
            <w:pPr>
              <w:spacing w:after="0"/>
              <w:rPr>
                <w:sz w:val="1"/>
                <w:szCs w:val="1"/>
                <w:color w:val="auto"/>
              </w:rPr>
            </w:pPr>
          </w:p>
        </w:tc>
      </w:tr>
      <w:tr>
        <w:trPr>
          <w:trHeight w:val="20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income/(loss)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18,199</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9,247</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5,614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13,617</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72,457</w:t>
            </w:r>
          </w:p>
        </w:tc>
        <w:tc>
          <w:tcPr>
            <w:tcW w:w="0" w:type="dxa"/>
            <w:vAlign w:val="bottom"/>
          </w:tcPr>
          <w:p>
            <w:pPr>
              <w:spacing w:after="0"/>
              <w:rPr>
                <w:sz w:val="1"/>
                <w:szCs w:val="1"/>
                <w:color w:val="auto"/>
              </w:rPr>
            </w:pPr>
          </w:p>
        </w:tc>
      </w:tr>
      <w:tr>
        <w:trPr>
          <w:trHeight w:val="385"/>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360" w:type="dxa"/>
            <w:vAlign w:val="bottom"/>
          </w:tcPr>
          <w:p>
            <w:pPr>
              <w:ind w:left="20"/>
              <w:spacing w:after="0"/>
              <w:rPr>
                <w:sz w:val="20"/>
                <w:szCs w:val="20"/>
                <w:color w:val="auto"/>
              </w:rPr>
            </w:pPr>
            <w:r>
              <w:rPr>
                <w:rFonts w:ascii="Arial" w:cs="Arial" w:eastAsia="Arial" w:hAnsi="Arial"/>
                <w:sz w:val="14"/>
                <w:szCs w:val="14"/>
                <w:color w:val="auto"/>
              </w:rPr>
              <w:t>Development and management services revenue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4"/>
                <w:szCs w:val="14"/>
                <w:color w:val="auto"/>
              </w:rPr>
              <w:t>Interest and other income (loss)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(11,785)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(14,468)</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(45,244)</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4"/>
                <w:szCs w:val="14"/>
                <w:color w:val="auto"/>
              </w:rPr>
              <w:t>Unrealized gain/loss on derivative instruments</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(19,172)</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(19,172)</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(8,671)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(6,919)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(41,082)</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3360" w:type="dxa"/>
            <w:vAlign w:val="bottom"/>
          </w:tcPr>
          <w:p>
            <w:pPr>
              <w:ind w:left="560"/>
              <w:spacing w:after="0"/>
              <w:rPr>
                <w:sz w:val="20"/>
                <w:szCs w:val="20"/>
                <w:color w:val="auto"/>
              </w:rPr>
            </w:pPr>
            <w:r>
              <w:rPr>
                <w:rFonts w:ascii="Arial" w:cs="Arial" w:eastAsia="Arial" w:hAnsi="Arial"/>
                <w:sz w:val="14"/>
                <w:szCs w:val="14"/>
                <w:color w:val="auto"/>
              </w:rPr>
              <w:t>Total other income/(expense)</w:t>
            </w: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(20,083)</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(9,489)</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(41,953)</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(6,932)</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(10,677)</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(13,719)</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(102,853)</w:t>
            </w:r>
          </w:p>
        </w:tc>
        <w:tc>
          <w:tcPr>
            <w:tcW w:w="0" w:type="dxa"/>
            <w:vAlign w:val="bottom"/>
          </w:tcPr>
          <w:p>
            <w:pPr>
              <w:spacing w:after="0"/>
              <w:rPr>
                <w:sz w:val="1"/>
                <w:szCs w:val="1"/>
                <w:color w:val="auto"/>
              </w:rPr>
            </w:pPr>
          </w:p>
        </w:tc>
      </w:tr>
      <w:tr>
        <w:trPr>
          <w:trHeight w:val="20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Net income/(loss)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2,315</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(30,396)</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Funds from</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 (FFO)</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BXP’s share of net income/(loss)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w:t>
            </w:r>
          </w:p>
        </w:tc>
        <w:tc>
          <w:tcPr>
            <w:tcW w:w="1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(9,872)</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1,042</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(9,319)</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rPr>
                <w:sz w:val="20"/>
                <w:szCs w:val="20"/>
                <w:color w:val="auto"/>
              </w:rPr>
            </w:pPr>
            <w:r>
              <w:rPr>
                <w:rFonts w:ascii="Arial" w:cs="Arial" w:eastAsia="Arial" w:hAnsi="Arial"/>
                <w:sz w:val="14"/>
                <w:szCs w:val="14"/>
                <w:color w:val="auto"/>
              </w:rPr>
              <w:t>Basis differential</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6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224</w:t>
            </w:r>
          </w:p>
        </w:tc>
        <w:tc>
          <w:tcPr>
            <w:tcW w:w="1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8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33"/>
        </w:trPr>
        <w:tc>
          <w:tcPr>
            <w:tcW w:w="336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305</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Arial" w:cs="Arial" w:eastAsia="Arial" w:hAnsi="Arial"/>
                <w:sz w:val="14"/>
                <w:szCs w:val="14"/>
                <w:color w:val="auto"/>
              </w:rPr>
              <w:t>Fair value interest adjustment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Arial" w:cs="Arial" w:eastAsia="Arial" w:hAnsi="Arial"/>
                <w:sz w:val="14"/>
                <w:szCs w:val="14"/>
                <w:color w:val="auto"/>
              </w:rPr>
              <w:t>Amortization of financing costs</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2"/>
        </w:trPr>
        <w:tc>
          <w:tcPr>
            <w:tcW w:w="3360" w:type="dxa"/>
            <w:vAlign w:val="bottom"/>
          </w:tcPr>
          <w:p>
            <w:pPr>
              <w:ind w:left="220"/>
              <w:spacing w:after="0"/>
              <w:rPr>
                <w:sz w:val="20"/>
                <w:szCs w:val="20"/>
                <w:color w:val="auto"/>
              </w:rPr>
            </w:pPr>
            <w:r>
              <w:rPr>
                <w:rFonts w:ascii="Arial" w:cs="Arial" w:eastAsia="Arial" w:hAnsi="Arial"/>
                <w:sz w:val="14"/>
                <w:szCs w:val="14"/>
                <w:color w:val="auto"/>
              </w:rPr>
              <w:t>Unrealized gain/loss on derivative instruments</w:t>
            </w: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5,117</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5,117</w:t>
            </w: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(1,112)</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(1,460)</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(540)</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25"/>
        </w:trPr>
        <w:tc>
          <w:tcPr>
            <w:tcW w:w="3360" w:type="dxa"/>
            <w:vAlign w:val="bottom"/>
            <w:vMerge w:val="restart"/>
          </w:tcPr>
          <w:p>
            <w:pPr>
              <w:ind w:left="560"/>
              <w:spacing w:after="0"/>
              <w:rPr>
                <w:sz w:val="20"/>
                <w:szCs w:val="20"/>
                <w:color w:val="auto"/>
              </w:rPr>
            </w:pPr>
            <w:r>
              <w:rPr>
                <w:rFonts w:ascii="Arial" w:cs="Arial" w:eastAsia="Arial" w:hAnsi="Arial"/>
                <w:sz w:val="14"/>
                <w:szCs w:val="14"/>
                <w:color w:val="auto"/>
              </w:rPr>
              <w:t xml:space="preserve">Total basis differential </w:t>
            </w:r>
            <w:r>
              <w:rPr>
                <w:rFonts w:ascii="Arial" w:cs="Arial" w:eastAsia="Arial" w:hAnsi="Arial"/>
                <w:sz w:val="18"/>
                <w:szCs w:val="18"/>
                <w:color w:val="auto"/>
                <w:vertAlign w:val="superscript"/>
              </w:rPr>
              <w:t>6</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3,610</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1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188"/>
        </w:trPr>
        <w:tc>
          <w:tcPr>
            <w:tcW w:w="3360" w:type="dxa"/>
            <w:vAlign w:val="bottom"/>
          </w:tcPr>
          <w:p>
            <w:pPr>
              <w:ind w:left="20"/>
              <w:spacing w:after="0"/>
              <w:rPr>
                <w:sz w:val="20"/>
                <w:szCs w:val="20"/>
                <w:color w:val="auto"/>
              </w:rPr>
            </w:pPr>
            <w:r>
              <w:rPr>
                <w:rFonts w:ascii="Arial" w:cs="Arial" w:eastAsia="Arial" w:hAnsi="Arial"/>
                <w:sz w:val="14"/>
                <w:szCs w:val="14"/>
                <w:color w:val="auto"/>
              </w:rPr>
              <w:t>Income/(loss) from unconsolidated joint ventures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(7,011)</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60" w:type="dxa"/>
            <w:vAlign w:val="bottom"/>
          </w:tcPr>
          <w:p>
            <w:pPr>
              <w:ind w:left="180"/>
              <w:spacing w:after="0" w:line="157" w:lineRule="exact"/>
              <w:rPr>
                <w:sz w:val="20"/>
                <w:szCs w:val="20"/>
                <w:color w:val="auto"/>
              </w:rPr>
            </w:pPr>
            <w:r>
              <w:rPr>
                <w:rFonts w:ascii="Arial" w:cs="Arial" w:eastAsia="Arial" w:hAnsi="Arial"/>
                <w:sz w:val="14"/>
                <w:szCs w:val="14"/>
                <w:color w:val="auto"/>
              </w:rPr>
              <w:t>BXP’s share of depreciation and amortization</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4,342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3,988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1,844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2,070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20,757</w:t>
            </w:r>
          </w:p>
        </w:tc>
        <w:tc>
          <w:tcPr>
            <w:tcW w:w="0" w:type="dxa"/>
            <w:vAlign w:val="bottom"/>
          </w:tcPr>
          <w:p>
            <w:pPr>
              <w:spacing w:after="0"/>
              <w:rPr>
                <w:sz w:val="1"/>
                <w:szCs w:val="1"/>
                <w:color w:val="auto"/>
              </w:rPr>
            </w:pPr>
          </w:p>
        </w:tc>
      </w:tr>
      <w:tr>
        <w:trPr>
          <w:trHeight w:val="189"/>
        </w:trPr>
        <w:tc>
          <w:tcPr>
            <w:tcW w:w="3360" w:type="dxa"/>
            <w:vAlign w:val="bottom"/>
          </w:tcPr>
          <w:p>
            <w:pPr>
              <w:ind w:left="360"/>
              <w:spacing w:after="0"/>
              <w:rPr>
                <w:sz w:val="20"/>
                <w:szCs w:val="20"/>
                <w:color w:val="auto"/>
              </w:rPr>
            </w:pPr>
            <w:r>
              <w:rPr>
                <w:rFonts w:ascii="Arial" w:cs="Arial" w:eastAsia="Arial" w:hAnsi="Arial"/>
                <w:sz w:val="14"/>
                <w:szCs w:val="14"/>
                <w:color w:val="auto"/>
              </w:rPr>
              <w:t>expense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Arial" w:cs="Arial" w:eastAsia="Arial" w:hAnsi="Arial"/>
                <w:sz w:val="14"/>
                <w:szCs w:val="14"/>
                <w:color w:val="auto"/>
              </w:rPr>
              <w:t>BXP’s share of FFO</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4,278</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2,427</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13,746</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For information on the properties included for each region and the Company’s percentage ownership in each property, see pages 22-25.</w:t>
      </w:r>
    </w:p>
    <w:p>
      <w:pPr>
        <w:spacing w:after="0" w:line="3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Lease revenue includes recoveries from clients and service income from clients.</w:t>
      </w: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See the Definitions and Reconciliations sections of this Supplemental package starting on page 57.</w:t>
      </w:r>
    </w:p>
    <w:p>
      <w:pPr>
        <w:ind w:left="80" w:right="28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The previous owner of 200 Fifth Avenue had not elected hedge accounting. Upon the Company acquiring an ownership interest in the property, it elected hedge accounting</w:t>
      </w:r>
      <w:r>
        <w:rPr>
          <w:rFonts w:ascii="Arial" w:cs="Arial" w:eastAsia="Arial" w:hAnsi="Arial"/>
          <w:sz w:val="9"/>
          <w:szCs w:val="9"/>
          <w:color w:val="auto"/>
        </w:rPr>
        <w:t xml:space="preserve"> </w:t>
      </w:r>
      <w:r>
        <w:rPr>
          <w:rFonts w:ascii="Arial" w:cs="Arial" w:eastAsia="Arial" w:hAnsi="Arial"/>
          <w:sz w:val="14"/>
          <w:szCs w:val="14"/>
          <w:color w:val="auto"/>
        </w:rPr>
        <w:t>and any changes in value is recognized as a basis differential to the Company.</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The Company’s purchase price allocation under ASC 805 for certain joint ventures differs from the historical basis of the venture.</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Represents adjustments related to the carrying values and depreciation of certain of the Company’s investment in unconsolidated joint ventures.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26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Q3 2024</w:t>
            </w:r>
          </w:p>
        </w:tc>
        <w:tc>
          <w:tcPr>
            <w:tcW w:w="0" w:type="dxa"/>
            <w:vAlign w:val="bottom"/>
          </w:tcPr>
          <w:p>
            <w:pPr>
              <w:spacing w:after="0"/>
              <w:rPr>
                <w:sz w:val="1"/>
                <w:szCs w:val="1"/>
                <w:color w:val="auto"/>
              </w:rPr>
            </w:pPr>
          </w:p>
        </w:tc>
      </w:tr>
      <w:tr>
        <w:trPr>
          <w:trHeight w:val="238"/>
        </w:trPr>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00497F"/>
              </w:rPr>
              <w:t>Lease expirations - All in-service properties</w:t>
            </w:r>
            <w:r>
              <w:rPr>
                <w:rFonts w:ascii="Arial" w:cs="Arial" w:eastAsia="Arial" w:hAnsi="Arial"/>
                <w:sz w:val="18"/>
                <w:szCs w:val="18"/>
                <w:b w:val="1"/>
                <w:bCs w:val="1"/>
                <w:color w:val="00497F"/>
                <w:vertAlign w:val="superscript"/>
              </w:rPr>
              <w:t>1, 2, 3</w:t>
            </w:r>
          </w:p>
        </w:tc>
        <w:tc>
          <w:tcPr>
            <w:tcW w:w="0" w:type="dxa"/>
            <w:vAlign w:val="bottom"/>
          </w:tcPr>
          <w:p>
            <w:pPr>
              <w:spacing w:after="0"/>
              <w:rPr>
                <w:sz w:val="1"/>
                <w:szCs w:val="1"/>
                <w:color w:val="auto"/>
              </w:rPr>
            </w:pPr>
          </w:p>
        </w:tc>
      </w:tr>
      <w:tr>
        <w:trPr>
          <w:trHeight w:val="849"/>
        </w:trPr>
        <w:tc>
          <w:tcPr>
            <w:tcW w:w="2780" w:type="dxa"/>
            <w:vAlign w:val="bottom"/>
            <w:gridSpan w:val="7"/>
          </w:tcPr>
          <w:p>
            <w:pPr>
              <w:spacing w:after="0"/>
              <w:rPr>
                <w:sz w:val="20"/>
                <w:szCs w:val="20"/>
                <w:color w:val="auto"/>
              </w:rPr>
            </w:pPr>
            <w:r>
              <w:rPr>
                <w:rFonts w:ascii="Arial" w:cs="Arial" w:eastAsia="Arial" w:hAnsi="Arial"/>
                <w:sz w:val="14"/>
                <w:szCs w:val="14"/>
                <w:color w:val="auto"/>
              </w:rPr>
              <w:t>as of September 30, 2024</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200" w:type="dxa"/>
            <w:vAlign w:val="bottom"/>
          </w:tcPr>
          <w:p>
            <w:pPr>
              <w:spacing w:after="0"/>
              <w:rPr>
                <w:sz w:val="20"/>
                <w:szCs w:val="20"/>
                <w:color w:val="auto"/>
              </w:rPr>
            </w:pPr>
            <w:r>
              <w:rPr>
                <w:rFonts w:ascii="Arial" w:cs="Arial" w:eastAsia="Arial" w:hAnsi="Arial"/>
                <w:sz w:val="14"/>
                <w:szCs w:val="14"/>
                <w:b w:val="1"/>
                <w:bCs w:val="1"/>
                <w:i w:val="1"/>
                <w:iCs w:val="1"/>
                <w:color w:val="auto"/>
              </w:rPr>
              <w:t>OFFICE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rPr>
              <w:t>BXP’s Share</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580" w:type="dxa"/>
            <w:vAlign w:val="bottom"/>
            <w:gridSpan w:val="6"/>
            <w:vMerge w:val="restart"/>
          </w:tcPr>
          <w:p>
            <w:pPr>
              <w:jc w:val="center"/>
              <w:ind w:right="16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tcBorders>
              <w:right w:val="single" w:sz="8" w:color="auto"/>
            </w:tcBorders>
            <w:gridSpan w:val="3"/>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Footage Subject</w:t>
            </w:r>
          </w:p>
        </w:tc>
        <w:tc>
          <w:tcPr>
            <w:tcW w:w="138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Footage Subject</w:t>
            </w:r>
          </w:p>
        </w:tc>
        <w:tc>
          <w:tcPr>
            <w:tcW w:w="2580" w:type="dxa"/>
            <w:vAlign w:val="bottom"/>
            <w:gridSpan w:val="6"/>
            <w:vMerge w:val="continue"/>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right w:val="single" w:sz="8" w:color="auto"/>
            </w:tcBorders>
            <w:gridSpan w:val="3"/>
            <w:vMerge w:val="continue"/>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2420" w:type="dxa"/>
            <w:vAlign w:val="bottom"/>
            <w:gridSpan w:val="5"/>
            <w:vMerge w:val="restart"/>
          </w:tcPr>
          <w:p>
            <w:pPr>
              <w:jc w:val="center"/>
              <w:ind w:right="20"/>
              <w:spacing w:after="0"/>
              <w:rPr>
                <w:sz w:val="20"/>
                <w:szCs w:val="20"/>
                <w:color w:val="auto"/>
              </w:rPr>
            </w:pPr>
            <w:r>
              <w:rPr>
                <w:rFonts w:ascii="Arial" w:cs="Arial" w:eastAsia="Arial" w:hAnsi="Arial"/>
                <w:sz w:val="13"/>
                <w:szCs w:val="13"/>
                <w:b w:val="1"/>
                <w:bCs w:val="1"/>
                <w:color w:val="auto"/>
              </w:rPr>
              <w:t>Obligations Under Expiring Leases</w:t>
            </w:r>
          </w:p>
        </w:tc>
        <w:tc>
          <w:tcPr>
            <w:tcW w:w="160" w:type="dxa"/>
            <w:vAlign w:val="bottom"/>
            <w:vMerge w:val="restart"/>
          </w:tcPr>
          <w:p>
            <w:pPr>
              <w:spacing w:after="0"/>
              <w:rPr>
                <w:sz w:val="7"/>
                <w:szCs w:val="7"/>
                <w:color w:val="auto"/>
              </w:rPr>
            </w:pPr>
          </w:p>
        </w:tc>
        <w:tc>
          <w:tcPr>
            <w:tcW w:w="24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2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Year of Lease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right w:val="single" w:sz="8" w:color="auto"/>
            </w:tcBorders>
            <w:gridSpan w:val="3"/>
          </w:tcPr>
          <w:p>
            <w:pPr>
              <w:jc w:val="center"/>
              <w:ind w:right="200"/>
              <w:spacing w:after="0" w:line="105" w:lineRule="exact"/>
              <w:rPr>
                <w:sz w:val="20"/>
                <w:szCs w:val="20"/>
                <w:color w:val="auto"/>
              </w:rPr>
            </w:pPr>
            <w:r>
              <w:rPr>
                <w:rFonts w:ascii="Arial" w:cs="Arial" w:eastAsia="Arial" w:hAnsi="Arial"/>
                <w:sz w:val="12"/>
                <w:szCs w:val="12"/>
                <w:b w:val="1"/>
                <w:bCs w:val="1"/>
                <w:color w:val="auto"/>
              </w:rPr>
              <w:t>to Expiring</w:t>
            </w:r>
          </w:p>
        </w:tc>
        <w:tc>
          <w:tcPr>
            <w:tcW w:w="1380" w:type="dxa"/>
            <w:vAlign w:val="bottom"/>
            <w:gridSpan w:val="4"/>
          </w:tcPr>
          <w:p>
            <w:pPr>
              <w:jc w:val="center"/>
              <w:ind w:right="160"/>
              <w:spacing w:after="0" w:line="105" w:lineRule="exact"/>
              <w:rPr>
                <w:sz w:val="20"/>
                <w:szCs w:val="20"/>
                <w:color w:val="auto"/>
              </w:rPr>
            </w:pPr>
            <w:r>
              <w:rPr>
                <w:rFonts w:ascii="Arial" w:cs="Arial" w:eastAsia="Arial" w:hAnsi="Arial"/>
                <w:sz w:val="12"/>
                <w:szCs w:val="12"/>
                <w:b w:val="1"/>
                <w:bCs w:val="1"/>
                <w:color w:val="auto"/>
              </w:rPr>
              <w:t>to Expiring</w:t>
            </w:r>
          </w:p>
        </w:tc>
        <w:tc>
          <w:tcPr>
            <w:tcW w:w="2420" w:type="dxa"/>
            <w:vAlign w:val="bottom"/>
            <w:tcBorders>
              <w:bottom w:val="single" w:sz="8" w:color="auto"/>
            </w:tcBorders>
            <w:gridSpan w:val="5"/>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440" w:type="dxa"/>
            <w:vAlign w:val="bottom"/>
            <w:tcBorders>
              <w:bottom w:val="single" w:sz="8" w:color="auto"/>
            </w:tcBorders>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Percentage of Total</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Leases</w:t>
            </w:r>
          </w:p>
        </w:tc>
        <w:tc>
          <w:tcPr>
            <w:tcW w:w="180" w:type="dxa"/>
            <w:vAlign w:val="bottom"/>
            <w:tcBorders>
              <w:right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Leases</w:t>
            </w:r>
          </w:p>
        </w:tc>
        <w:tc>
          <w:tcPr>
            <w:tcW w:w="160" w:type="dxa"/>
            <w:vAlign w:val="bottom"/>
            <w:gridSpan w:val="2"/>
          </w:tcPr>
          <w:p>
            <w:pPr>
              <w:spacing w:after="0"/>
              <w:rPr>
                <w:sz w:val="17"/>
                <w:szCs w:val="17"/>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vMerge w:val="restart"/>
          </w:tcPr>
          <w:p>
            <w:pPr>
              <w:jc w:val="right"/>
              <w:ind w:right="273"/>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91"/>
        </w:trPr>
        <w:tc>
          <w:tcPr>
            <w:tcW w:w="1200" w:type="dxa"/>
            <w:vAlign w:val="bottom"/>
          </w:tcPr>
          <w:p>
            <w:pPr>
              <w:jc w:val="center"/>
              <w:spacing w:after="0"/>
              <w:rPr>
                <w:sz w:val="20"/>
                <w:szCs w:val="20"/>
                <w:color w:val="auto"/>
              </w:rPr>
            </w:pPr>
            <w:r>
              <w:rPr>
                <w:rFonts w:ascii="Arial" w:cs="Arial" w:eastAsia="Arial" w:hAnsi="Arial"/>
                <w:sz w:val="14"/>
                <w:szCs w:val="14"/>
                <w:color w:val="auto"/>
              </w:rPr>
              <w:t>2024</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848,845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831,613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53,427,315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53,493,531</w:t>
            </w:r>
          </w:p>
        </w:tc>
        <w:tc>
          <w:tcPr>
            <w:tcW w:w="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64.33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2.13 %</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2025</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2,802,022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2,357,763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173,013,273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73.38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174,144,376</w:t>
            </w:r>
          </w:p>
        </w:tc>
        <w:tc>
          <w:tcPr>
            <w:tcW w:w="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73.86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6.04 %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2,199,131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1,867,420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144,812,866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148,606,528</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79.58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4.78 %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2,253,918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2,061,029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153,077,849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160,042,830</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77.65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5.28 %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3,259,604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2,617,266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223,671,017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85.46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239,209,606</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91.40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6.70 %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3,541,732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3,042,579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223,761,863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247,031,532</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81.19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7.79 %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2,880,981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2,776,798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214,642,357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77.30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234,859,103</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84.58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7.11 %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2,075,441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1,917,216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167,598,962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183,271,990</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95.59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4.91 %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2,754,715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2,480,859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189,447,126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227,253,419</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91.60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6.35 %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2,541,511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2,397,899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187,582,584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221,786,763</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92.49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6.14 %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14,453,439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11,555,329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938,148,683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1,134,713,631</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98.20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29.59 %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rPr>
              <w:t>BXP’s Share</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2580" w:type="dxa"/>
            <w:vAlign w:val="bottom"/>
            <w:gridSpan w:val="6"/>
            <w:vMerge w:val="restart"/>
          </w:tcPr>
          <w:p>
            <w:pPr>
              <w:jc w:val="center"/>
              <w:ind w:right="20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tcBorders>
              <w:right w:val="single" w:sz="8" w:color="auto"/>
            </w:tcBorders>
            <w:gridSpan w:val="3"/>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Footage Subject</w:t>
            </w:r>
          </w:p>
        </w:tc>
        <w:tc>
          <w:tcPr>
            <w:tcW w:w="138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Footage Subject</w:t>
            </w:r>
          </w:p>
        </w:tc>
        <w:tc>
          <w:tcPr>
            <w:tcW w:w="2580" w:type="dxa"/>
            <w:vAlign w:val="bottom"/>
            <w:gridSpan w:val="6"/>
            <w:vMerge w:val="continue"/>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right w:val="single" w:sz="8" w:color="auto"/>
            </w:tcBorders>
            <w:gridSpan w:val="3"/>
            <w:vMerge w:val="continue"/>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24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80" w:type="dxa"/>
            <w:vAlign w:val="bottom"/>
            <w:gridSpan w:val="2"/>
            <w:vMerge w:val="restart"/>
          </w:tcPr>
          <w:p>
            <w:pPr>
              <w:spacing w:after="0"/>
              <w:rPr>
                <w:sz w:val="7"/>
                <w:szCs w:val="7"/>
                <w:color w:val="auto"/>
              </w:rPr>
            </w:pPr>
          </w:p>
        </w:tc>
        <w:tc>
          <w:tcPr>
            <w:tcW w:w="24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Year of Lease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right w:val="single" w:sz="8" w:color="auto"/>
            </w:tcBorders>
            <w:gridSpan w:val="3"/>
          </w:tcPr>
          <w:p>
            <w:pPr>
              <w:jc w:val="center"/>
              <w:ind w:right="200"/>
              <w:spacing w:after="0" w:line="105" w:lineRule="exact"/>
              <w:rPr>
                <w:sz w:val="20"/>
                <w:szCs w:val="20"/>
                <w:color w:val="auto"/>
              </w:rPr>
            </w:pPr>
            <w:r>
              <w:rPr>
                <w:rFonts w:ascii="Arial" w:cs="Arial" w:eastAsia="Arial" w:hAnsi="Arial"/>
                <w:sz w:val="12"/>
                <w:szCs w:val="12"/>
                <w:b w:val="1"/>
                <w:bCs w:val="1"/>
                <w:color w:val="auto"/>
              </w:rPr>
              <w:t>to Expiring</w:t>
            </w:r>
          </w:p>
        </w:tc>
        <w:tc>
          <w:tcPr>
            <w:tcW w:w="1360" w:type="dxa"/>
            <w:vAlign w:val="bottom"/>
            <w:gridSpan w:val="3"/>
          </w:tcPr>
          <w:p>
            <w:pPr>
              <w:jc w:val="center"/>
              <w:ind w:right="180"/>
              <w:spacing w:after="0" w:line="105" w:lineRule="exact"/>
              <w:rPr>
                <w:sz w:val="20"/>
                <w:szCs w:val="20"/>
                <w:color w:val="auto"/>
              </w:rPr>
            </w:pPr>
            <w:r>
              <w:rPr>
                <w:rFonts w:ascii="Arial" w:cs="Arial" w:eastAsia="Arial" w:hAnsi="Arial"/>
                <w:sz w:val="12"/>
                <w:szCs w:val="12"/>
                <w:b w:val="1"/>
                <w:bCs w:val="1"/>
                <w:color w:val="auto"/>
              </w:rPr>
              <w:t>to Expiring</w:t>
            </w:r>
          </w:p>
        </w:tc>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4"/>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2440" w:type="dxa"/>
            <w:vAlign w:val="bottom"/>
            <w:tcBorders>
              <w:bottom w:val="single" w:sz="8" w:color="auto"/>
            </w:tcBorders>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Percentage of Total</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Leases</w:t>
            </w:r>
          </w:p>
        </w:tc>
        <w:tc>
          <w:tcPr>
            <w:tcW w:w="18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Leases</w:t>
            </w:r>
          </w:p>
        </w:tc>
        <w:tc>
          <w:tcPr>
            <w:tcW w:w="16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rPr>
                <w:sz w:val="20"/>
                <w:szCs w:val="20"/>
                <w:color w:val="auto"/>
              </w:rPr>
            </w:pPr>
            <w:r>
              <w:rPr>
                <w:rFonts w:ascii="Arial" w:cs="Arial" w:eastAsia="Arial" w:hAnsi="Arial"/>
                <w:sz w:val="14"/>
                <w:szCs w:val="14"/>
                <w:color w:val="auto"/>
              </w:rPr>
              <w:t>2024</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31,131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2,529,542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2,529,542</w:t>
            </w:r>
          </w:p>
        </w:tc>
        <w:tc>
          <w:tcPr>
            <w:tcW w:w="40" w:type="dxa"/>
            <w:vAlign w:val="bottom"/>
          </w:tcPr>
          <w:p>
            <w:pPr>
              <w:spacing w:after="0"/>
              <w:rPr>
                <w:sz w:val="16"/>
                <w:szCs w:val="16"/>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81.25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1.28 %</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2025</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74,374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74,059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5,910,113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79.80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5,999,394</w:t>
            </w:r>
          </w:p>
        </w:tc>
        <w:tc>
          <w:tcPr>
            <w:tcW w:w="40" w:type="dxa"/>
            <w:vAlign w:val="bottom"/>
          </w:tcPr>
          <w:p>
            <w:pPr>
              <w:spacing w:after="0"/>
              <w:rPr>
                <w:sz w:val="24"/>
                <w:szCs w:val="24"/>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81.01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3.05 %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118,055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101,578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18,889,932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185.96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19,522,662</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192.19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4.18 %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110,591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100,175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9,553,369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95.37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9,846,269</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98.29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4.12 %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101,034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98,372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11,219,293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11,551,776</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117.43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4.05 %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147,413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141,413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15,161,449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107.21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15,987,172</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113.05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5.82 %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158,500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123,200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10,623,660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11,616,359</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94.29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5.07 %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95,532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85,862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10,085,226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117.46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11,353,132</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132.23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3.53 %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101,253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99,544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7,463,942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8,634,394</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86.74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4.09 %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472,047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438,644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31,664,508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36,048,244</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82.18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18.04 %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757,244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576,770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71,414,310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123.82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73,947,102</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128.21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23.72 %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278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IN-SERVICE PROPERTIES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rPr>
              <w:t>BXP’s Share</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2580" w:type="dxa"/>
            <w:vAlign w:val="bottom"/>
            <w:gridSpan w:val="6"/>
            <w:vMerge w:val="restart"/>
          </w:tcPr>
          <w:p>
            <w:pPr>
              <w:jc w:val="center"/>
              <w:ind w:right="18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tcBorders>
              <w:right w:val="single" w:sz="8" w:color="auto"/>
            </w:tcBorders>
            <w:gridSpan w:val="3"/>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Footage Subject</w:t>
            </w:r>
          </w:p>
        </w:tc>
        <w:tc>
          <w:tcPr>
            <w:tcW w:w="1380" w:type="dxa"/>
            <w:vAlign w:val="bottom"/>
            <w:gridSpan w:val="4"/>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Footage Subject</w:t>
            </w:r>
          </w:p>
        </w:tc>
        <w:tc>
          <w:tcPr>
            <w:tcW w:w="2580" w:type="dxa"/>
            <w:vAlign w:val="bottom"/>
            <w:gridSpan w:val="6"/>
            <w:vMerge w:val="continue"/>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right w:val="single" w:sz="8" w:color="auto"/>
            </w:tcBorders>
            <w:gridSpan w:val="3"/>
            <w:vMerge w:val="continue"/>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2420" w:type="dxa"/>
            <w:vAlign w:val="bottom"/>
            <w:gridSpan w:val="5"/>
            <w:vMerge w:val="restart"/>
          </w:tcPr>
          <w:p>
            <w:pPr>
              <w:jc w:val="center"/>
              <w:ind w:right="20"/>
              <w:spacing w:after="0"/>
              <w:rPr>
                <w:sz w:val="20"/>
                <w:szCs w:val="20"/>
                <w:color w:val="auto"/>
              </w:rPr>
            </w:pPr>
            <w:r>
              <w:rPr>
                <w:rFonts w:ascii="Arial" w:cs="Arial" w:eastAsia="Arial" w:hAnsi="Arial"/>
                <w:sz w:val="13"/>
                <w:szCs w:val="13"/>
                <w:b w:val="1"/>
                <w:bCs w:val="1"/>
                <w:color w:val="auto"/>
              </w:rPr>
              <w:t>Obligations Under Expiring Leases</w:t>
            </w:r>
          </w:p>
        </w:tc>
        <w:tc>
          <w:tcPr>
            <w:tcW w:w="160" w:type="dxa"/>
            <w:vAlign w:val="bottom"/>
            <w:vMerge w:val="restart"/>
          </w:tcPr>
          <w:p>
            <w:pPr>
              <w:spacing w:after="0"/>
              <w:rPr>
                <w:sz w:val="7"/>
                <w:szCs w:val="7"/>
                <w:color w:val="auto"/>
              </w:rPr>
            </w:pPr>
          </w:p>
        </w:tc>
        <w:tc>
          <w:tcPr>
            <w:tcW w:w="24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2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Year of Lease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right w:val="single" w:sz="8" w:color="auto"/>
            </w:tcBorders>
            <w:gridSpan w:val="3"/>
          </w:tcPr>
          <w:p>
            <w:pPr>
              <w:jc w:val="center"/>
              <w:ind w:right="220"/>
              <w:spacing w:after="0" w:line="105" w:lineRule="exact"/>
              <w:rPr>
                <w:sz w:val="20"/>
                <w:szCs w:val="20"/>
                <w:color w:val="auto"/>
              </w:rPr>
            </w:pPr>
            <w:r>
              <w:rPr>
                <w:rFonts w:ascii="Arial" w:cs="Arial" w:eastAsia="Arial" w:hAnsi="Arial"/>
                <w:sz w:val="12"/>
                <w:szCs w:val="12"/>
                <w:b w:val="1"/>
                <w:bCs w:val="1"/>
                <w:color w:val="auto"/>
              </w:rPr>
              <w:t>to Expiring</w:t>
            </w:r>
          </w:p>
        </w:tc>
        <w:tc>
          <w:tcPr>
            <w:tcW w:w="1360" w:type="dxa"/>
            <w:vAlign w:val="bottom"/>
            <w:gridSpan w:val="3"/>
          </w:tcPr>
          <w:p>
            <w:pPr>
              <w:jc w:val="center"/>
              <w:ind w:right="180"/>
              <w:spacing w:after="0" w:line="105" w:lineRule="exact"/>
              <w:rPr>
                <w:sz w:val="20"/>
                <w:szCs w:val="20"/>
                <w:color w:val="auto"/>
              </w:rPr>
            </w:pPr>
            <w:r>
              <w:rPr>
                <w:rFonts w:ascii="Arial" w:cs="Arial" w:eastAsia="Arial" w:hAnsi="Arial"/>
                <w:sz w:val="12"/>
                <w:szCs w:val="12"/>
                <w:b w:val="1"/>
                <w:bCs w:val="1"/>
                <w:color w:val="auto"/>
              </w:rPr>
              <w:t>to Expiring</w:t>
            </w:r>
          </w:p>
        </w:tc>
        <w:tc>
          <w:tcPr>
            <w:tcW w:w="2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5"/>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440" w:type="dxa"/>
            <w:vAlign w:val="bottom"/>
            <w:tcBorders>
              <w:bottom w:val="single" w:sz="8" w:color="auto"/>
            </w:tcBorders>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Percentage of Total</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Leases</w:t>
            </w:r>
          </w:p>
        </w:tc>
        <w:tc>
          <w:tcPr>
            <w:tcW w:w="200" w:type="dxa"/>
            <w:vAlign w:val="bottom"/>
            <w:tcBorders>
              <w:right w:val="single" w:sz="8" w:color="auto"/>
            </w:tcBorders>
            <w:gridSpan w:val="2"/>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Leases</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vMerge w:val="restart"/>
          </w:tcPr>
          <w:p>
            <w:pPr>
              <w:jc w:val="right"/>
              <w:ind w:right="273"/>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71"/>
        </w:trPr>
        <w:tc>
          <w:tcPr>
            <w:tcW w:w="1200" w:type="dxa"/>
            <w:vAlign w:val="bottom"/>
          </w:tcPr>
          <w:p>
            <w:pPr>
              <w:jc w:val="center"/>
              <w:spacing w:after="0"/>
              <w:rPr>
                <w:sz w:val="20"/>
                <w:szCs w:val="20"/>
                <w:color w:val="auto"/>
              </w:rPr>
            </w:pPr>
            <w:r>
              <w:rPr>
                <w:rFonts w:ascii="Arial" w:cs="Arial" w:eastAsia="Arial" w:hAnsi="Arial"/>
                <w:sz w:val="14"/>
                <w:szCs w:val="14"/>
                <w:color w:val="auto"/>
              </w:rPr>
              <w:t>2024</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879,976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862,744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55,956,857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64.86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56,023,073</w:t>
            </w:r>
          </w:p>
        </w:tc>
        <w:tc>
          <w:tcPr>
            <w:tcW w:w="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64.94</w:t>
            </w:r>
          </w:p>
        </w:tc>
        <w:tc>
          <w:tcPr>
            <w:tcW w:w="180" w:type="dxa"/>
            <w:vAlign w:val="bottom"/>
            <w:gridSpan w:val="2"/>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2.08 %</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200" w:type="dxa"/>
            <w:vAlign w:val="bottom"/>
          </w:tcPr>
          <w:p>
            <w:pPr>
              <w:jc w:val="center"/>
              <w:spacing w:after="0"/>
              <w:rPr>
                <w:sz w:val="20"/>
                <w:szCs w:val="20"/>
                <w:color w:val="auto"/>
              </w:rPr>
            </w:pPr>
            <w:r>
              <w:rPr>
                <w:rFonts w:ascii="Arial" w:cs="Arial" w:eastAsia="Arial" w:hAnsi="Arial"/>
                <w:sz w:val="14"/>
                <w:szCs w:val="14"/>
                <w:color w:val="auto"/>
              </w:rPr>
              <w:t>2025</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2,876,396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2,431,822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178,923,386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73.58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180,143,770</w:t>
            </w:r>
          </w:p>
        </w:tc>
        <w:tc>
          <w:tcPr>
            <w:tcW w:w="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74.08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5.86 %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2,317,186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1,968,998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163,702,798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168,129,190</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85.39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4.75 %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2,364,509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2,161,204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162,631,218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169,889,099</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78.61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5.21 %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3,360,638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2,715,638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234,890,310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250,761,382</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92.34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6.55 %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3,689,145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3,183,992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238,923,312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263,018,704</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82.61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7.67 %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3,039,481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2,899,998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225,266,017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77.68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246,475,462</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84.99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6.99 %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2,170,973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2,003,078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177,684,188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88.71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194,625,122</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97.16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4.83 %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2,855,968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2,580,403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196,911,068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235,887,813</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91.42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6.22 %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3,013,558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2,836,543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219,247,092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257,835,007</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90.90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6.84 %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15,210,683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12,132,099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1,009,562,993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83.21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1,208,660,733</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99.63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29.24 %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-8027035</wp:posOffset>
            </wp:positionV>
            <wp:extent cx="25717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99"/>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265" w:right="339" w:bottom="1440" w:gutter="0" w:footer="0" w:header="0"/>
          <w:type w:val="continuous"/>
        </w:sectPr>
      </w:pPr>
    </w:p>
    <w:bookmarkStart w:id="47" w:name="page48"/>
    <w:bookmarkEnd w:id="47"/>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Boston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48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rPr>
              <w:t>Footage Subject to</w:t>
            </w:r>
          </w:p>
        </w:tc>
        <w:tc>
          <w:tcPr>
            <w:tcW w:w="310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100" w:type="dxa"/>
            <w:vAlign w:val="bottom"/>
            <w:tcBorders>
              <w:bottom w:val="single" w:sz="8" w:color="auto"/>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$/PSF</w:t>
            </w:r>
          </w:p>
        </w:tc>
        <w:tc>
          <w:tcPr>
            <w:tcW w:w="60" w:type="dxa"/>
            <w:vAlign w:val="bottom"/>
            <w:gridSpan w:val="2"/>
            <w:vMerge w:val="restart"/>
          </w:tcPr>
          <w:p>
            <w:pPr>
              <w:jc w:val="right"/>
              <w:spacing w:after="0"/>
              <w:rPr>
                <w:sz w:val="20"/>
                <w:szCs w:val="20"/>
                <w:color w:val="auto"/>
              </w:rPr>
            </w:pPr>
            <w:r>
              <w:rPr>
                <w:rFonts w:ascii="Arial" w:cs="Arial" w:eastAsia="Arial" w:hAnsi="Arial"/>
                <w:sz w:val="5"/>
                <w:szCs w:val="5"/>
                <w:color w:val="auto"/>
                <w:w w:val="70"/>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41,079</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39,405</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1,833,518</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46.53</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1,833,518</w:t>
            </w:r>
          </w:p>
        </w:tc>
        <w:tc>
          <w:tcPr>
            <w:tcW w:w="16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46.53</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846,600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812,650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47,953,098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59.01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47,886,139</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58.93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471,232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434,234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31,005,357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31,798,276</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73.23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667,989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660,189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47,712,484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72.27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49,321,005</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74.71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979,191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961,790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87,517,128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90.99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93,906,947</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97.64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1,264,116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1,130,630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71,372,768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80,909,375</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71.56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1,499,157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1,480,942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103,773,873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70.07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112,098,616</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75.69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620,194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553,357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37,053,688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40,510,208</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73.21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1,008,840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1,008,840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82,640,919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81.92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103,054,205</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102.15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377,297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366,546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24,025,167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65.54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27,737,732</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75.67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5,066,461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4,138,427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346,808,351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83.80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420,892,392</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101.70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136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2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14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Footage Subject to</w:t>
            </w:r>
          </w:p>
        </w:tc>
        <w:tc>
          <w:tcPr>
            <w:tcW w:w="310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100" w:type="dxa"/>
            <w:vAlign w:val="bottom"/>
            <w:tcBorders>
              <w:bottom w:val="single" w:sz="8" w:color="auto"/>
              <w:right w:val="single" w:sz="8" w:color="auto"/>
            </w:tcBorders>
            <w:gridSpan w:val="3"/>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20" w:type="dxa"/>
            <w:vAlign w:val="bottom"/>
            <w:tcBorders>
              <w:bottom w:val="single" w:sz="8" w:color="auto"/>
            </w:tcBorders>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21,013</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21,013</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1,183,848</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56.34</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1,183,848</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34,355</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34,040</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2,895,776</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85.07</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2,895,776</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26,513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26,513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5,364,986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202.35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5,472,464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206.41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49,813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43,499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6,185,788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142.21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6,280,459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144.38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46,656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46,656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7,080,468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151.76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7,333,791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157.19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64,281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62,931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8,517,882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135.35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8,787,631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139.64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100,574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65,274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6,212,736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95.18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6,555,200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4,266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4,266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578,329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135.57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631,295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147.98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65,011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64,420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4,932,214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76.56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5,652,125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284,391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250,988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20,964,961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83.53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24,191,891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96.39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338,271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295,461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21,390,022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23,669,207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30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2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14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Footage Subject to</w:t>
            </w:r>
          </w:p>
        </w:tc>
        <w:tc>
          <w:tcPr>
            <w:tcW w:w="310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100" w:type="dxa"/>
            <w:vAlign w:val="bottom"/>
            <w:tcBorders>
              <w:bottom w:val="single" w:sz="8" w:color="auto"/>
              <w:right w:val="single" w:sz="8" w:color="auto"/>
            </w:tcBorders>
            <w:gridSpan w:val="3"/>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20" w:type="dxa"/>
            <w:vAlign w:val="bottom"/>
            <w:tcBorders>
              <w:bottom w:val="single" w:sz="8" w:color="auto"/>
            </w:tcBorders>
            <w:shd w:val="clear" w:color="auto" w:fill="000000"/>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62,092</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60,418</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3,017,366</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49.94</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3,017,366</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49.94</w:t>
            </w:r>
          </w:p>
        </w:tc>
        <w:tc>
          <w:tcPr>
            <w:tcW w:w="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880,955</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846,690</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50,848,874</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60.06</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50,781,915</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59.98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497,745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460,747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36,370,343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78.94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37,270,740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717,802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703,688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53,898,272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76.59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55,601,464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1,025,847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1,008,446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94,597,596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93.81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101,240,738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1,328,397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1,193,561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79,890,650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66.93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89,697,006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1,599,731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1,546,216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109,986,609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118,653,816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624,460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557,623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37,632,017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67.49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41,141,503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73.78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1,073,851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1,073,260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87,573,133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81.60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108,706,330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661,688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617,534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44,990,128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72.85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51,929,623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4"/>
              <w:spacing w:after="0"/>
              <w:rPr>
                <w:sz w:val="20"/>
                <w:szCs w:val="20"/>
                <w:color w:val="auto"/>
              </w:rPr>
            </w:pPr>
            <w:r>
              <w:rPr>
                <w:rFonts w:ascii="Arial" w:cs="Arial" w:eastAsia="Arial" w:hAnsi="Arial"/>
                <w:sz w:val="14"/>
                <w:szCs w:val="14"/>
                <w:color w:val="auto"/>
              </w:rPr>
              <w:t>5,404,732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4,433,888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368,198,373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83.04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444,561,599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0"/>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265" w:right="339" w:bottom="1440" w:gutter="0" w:footer="0" w:header="0"/>
          <w:type w:val="continuous"/>
        </w:sectPr>
      </w:pPr>
    </w:p>
    <w:bookmarkStart w:id="48" w:name="page49"/>
    <w:bookmarkEnd w:id="48"/>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Boston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6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5"/>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2"/>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00" w:type="dxa"/>
            <w:vAlign w:val="bottom"/>
            <w:gridSpan w:val="2"/>
            <w:vMerge w:val="continue"/>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60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by Quarter</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20" w:type="dxa"/>
            <w:vAlign w:val="bottom"/>
          </w:tcPr>
          <w:p>
            <w:pPr>
              <w:jc w:val="right"/>
              <w:spacing w:after="0"/>
              <w:rPr>
                <w:sz w:val="20"/>
                <w:szCs w:val="20"/>
                <w:color w:val="auto"/>
              </w:rPr>
            </w:pPr>
            <w:r>
              <w:rPr>
                <w:rFonts w:ascii="Arial" w:cs="Arial" w:eastAsia="Arial" w:hAnsi="Arial"/>
                <w:sz w:val="14"/>
                <w:szCs w:val="14"/>
                <w:color w:val="auto"/>
              </w:rPr>
              <w:t>15,930</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14,256</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686,077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48.13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686,077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48.13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25,149</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25,149</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1,147,441</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1,147,441</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41,079</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39,405</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1,833,518</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1,833,518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20" w:type="dxa"/>
            <w:vAlign w:val="bottom"/>
          </w:tcPr>
          <w:p>
            <w:pPr>
              <w:jc w:val="right"/>
              <w:spacing w:after="0"/>
              <w:rPr>
                <w:sz w:val="20"/>
                <w:szCs w:val="20"/>
                <w:color w:val="auto"/>
              </w:rPr>
            </w:pPr>
            <w:r>
              <w:rPr>
                <w:rFonts w:ascii="Arial" w:cs="Arial" w:eastAsia="Arial" w:hAnsi="Arial"/>
                <w:sz w:val="14"/>
                <w:szCs w:val="14"/>
                <w:color w:val="auto"/>
              </w:rPr>
              <w:t>77,716</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75,775</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4,183,253</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55.21</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3,948,087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52.10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20" w:type="dxa"/>
            <w:vAlign w:val="bottom"/>
          </w:tcPr>
          <w:p>
            <w:pPr>
              <w:jc w:val="right"/>
              <w:spacing w:after="0"/>
              <w:rPr>
                <w:sz w:val="20"/>
                <w:szCs w:val="20"/>
                <w:color w:val="auto"/>
              </w:rPr>
            </w:pPr>
            <w:r>
              <w:rPr>
                <w:rFonts w:ascii="Arial" w:cs="Arial" w:eastAsia="Arial" w:hAnsi="Arial"/>
                <w:sz w:val="14"/>
                <w:szCs w:val="14"/>
                <w:color w:val="auto"/>
              </w:rPr>
              <w:t>596,823</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585,072</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33,539,604</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57.33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33,565,783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20" w:type="dxa"/>
            <w:vAlign w:val="bottom"/>
          </w:tcPr>
          <w:p>
            <w:pPr>
              <w:jc w:val="right"/>
              <w:spacing w:after="0"/>
              <w:rPr>
                <w:sz w:val="20"/>
                <w:szCs w:val="20"/>
                <w:color w:val="auto"/>
              </w:rPr>
            </w:pPr>
            <w:r>
              <w:rPr>
                <w:rFonts w:ascii="Arial" w:cs="Arial" w:eastAsia="Arial" w:hAnsi="Arial"/>
                <w:sz w:val="14"/>
                <w:szCs w:val="14"/>
                <w:color w:val="auto"/>
              </w:rPr>
              <w:t>29,224</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28,110</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2,153,517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76.61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2,170,998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142,837</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123,693</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8,076,724</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8,201,271</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846,600</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812,650</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47,953,098</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59.01</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47,886,139</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16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6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5"/>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2"/>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600" w:type="dxa"/>
            <w:vAlign w:val="bottom"/>
            <w:gridSpan w:val="2"/>
            <w:vMerge w:val="continue"/>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160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21,013</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21,013</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1,183,848</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1,183,848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21,013</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21,013</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1,183,848</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1,183,848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20" w:type="dxa"/>
            <w:vAlign w:val="bottom"/>
          </w:tcPr>
          <w:p>
            <w:pPr>
              <w:jc w:val="right"/>
              <w:spacing w:after="0"/>
              <w:rPr>
                <w:sz w:val="20"/>
                <w:szCs w:val="20"/>
                <w:color w:val="auto"/>
              </w:rPr>
            </w:pPr>
            <w:r>
              <w:rPr>
                <w:rFonts w:ascii="Arial" w:cs="Arial" w:eastAsia="Arial" w:hAnsi="Arial"/>
                <w:sz w:val="14"/>
                <w:szCs w:val="14"/>
                <w:color w:val="auto"/>
              </w:rPr>
              <w:t>27,591</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27,276</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1,695,334</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62.15</w:t>
            </w:r>
          </w:p>
        </w:tc>
        <w:tc>
          <w:tcPr>
            <w:tcW w:w="180" w:type="dxa"/>
            <w:vAlign w:val="bottom"/>
          </w:tcPr>
          <w:p>
            <w:pPr>
              <w:spacing w:after="0"/>
              <w:rPr>
                <w:sz w:val="24"/>
                <w:szCs w:val="24"/>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1,695,334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20" w:type="dxa"/>
            <w:vAlign w:val="bottom"/>
          </w:tcPr>
          <w:p>
            <w:pPr>
              <w:jc w:val="right"/>
              <w:spacing w:after="0"/>
              <w:rPr>
                <w:sz w:val="20"/>
                <w:szCs w:val="20"/>
                <w:color w:val="auto"/>
              </w:rPr>
            </w:pPr>
            <w:r>
              <w:rPr>
                <w:rFonts w:ascii="Arial" w:cs="Arial" w:eastAsia="Arial" w:hAnsi="Arial"/>
                <w:sz w:val="14"/>
                <w:szCs w:val="14"/>
                <w:color w:val="auto"/>
              </w:rPr>
              <w:t>1,717</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1,717</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398,379</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232.02</w:t>
            </w:r>
          </w:p>
        </w:tc>
        <w:tc>
          <w:tcPr>
            <w:tcW w:w="18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398,379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232.02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20" w:type="dxa"/>
            <w:vAlign w:val="bottom"/>
          </w:tcPr>
          <w:p>
            <w:pPr>
              <w:jc w:val="right"/>
              <w:spacing w:after="0"/>
              <w:rPr>
                <w:sz w:val="20"/>
                <w:szCs w:val="20"/>
                <w:color w:val="auto"/>
              </w:rPr>
            </w:pPr>
            <w:r>
              <w:rPr>
                <w:rFonts w:ascii="Arial" w:cs="Arial" w:eastAsia="Arial" w:hAnsi="Arial"/>
                <w:sz w:val="14"/>
                <w:szCs w:val="14"/>
                <w:color w:val="auto"/>
              </w:rPr>
              <w:t>5,047</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5,047</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802,064</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158.92</w:t>
            </w:r>
          </w:p>
        </w:tc>
        <w:tc>
          <w:tcPr>
            <w:tcW w:w="18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802,064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158.92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34,355</w:t>
            </w:r>
          </w:p>
        </w:tc>
        <w:tc>
          <w:tcPr>
            <w:tcW w:w="2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34,040</w:t>
            </w:r>
          </w:p>
        </w:tc>
        <w:tc>
          <w:tcPr>
            <w:tcW w:w="1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2,895,776</w:t>
            </w:r>
          </w:p>
        </w:tc>
        <w:tc>
          <w:tcPr>
            <w:tcW w:w="1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85.07</w:t>
            </w:r>
          </w:p>
        </w:tc>
        <w:tc>
          <w:tcPr>
            <w:tcW w:w="1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2,895,776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85.07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32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6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5"/>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2"/>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600" w:type="dxa"/>
            <w:vAlign w:val="bottom"/>
            <w:gridSpan w:val="2"/>
            <w:vMerge w:val="continue"/>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160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2"/>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20" w:type="dxa"/>
            <w:vAlign w:val="bottom"/>
          </w:tcPr>
          <w:p>
            <w:pPr>
              <w:jc w:val="right"/>
              <w:spacing w:after="0"/>
              <w:rPr>
                <w:sz w:val="20"/>
                <w:szCs w:val="20"/>
                <w:color w:val="auto"/>
              </w:rPr>
            </w:pPr>
            <w:r>
              <w:rPr>
                <w:rFonts w:ascii="Arial" w:cs="Arial" w:eastAsia="Arial" w:hAnsi="Arial"/>
                <w:sz w:val="14"/>
                <w:szCs w:val="14"/>
                <w:color w:val="auto"/>
              </w:rPr>
              <w:t>15,930</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14,256</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686,077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48.13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686,077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48.13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46,162</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46,162</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2,331,289</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2,331,289</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62,092</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60,418</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3,017,366</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3,017,366</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0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20" w:type="dxa"/>
            <w:vAlign w:val="bottom"/>
          </w:tcPr>
          <w:p>
            <w:pPr>
              <w:jc w:val="right"/>
              <w:spacing w:after="0"/>
              <w:rPr>
                <w:sz w:val="20"/>
                <w:szCs w:val="20"/>
                <w:color w:val="auto"/>
              </w:rPr>
            </w:pPr>
            <w:r>
              <w:rPr>
                <w:rFonts w:ascii="Arial" w:cs="Arial" w:eastAsia="Arial" w:hAnsi="Arial"/>
                <w:sz w:val="14"/>
                <w:szCs w:val="14"/>
                <w:color w:val="auto"/>
              </w:rPr>
              <w:t>105,307</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103,051</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5,878,587</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57.05</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5,643,421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20" w:type="dxa"/>
            <w:vAlign w:val="bottom"/>
          </w:tcPr>
          <w:p>
            <w:pPr>
              <w:jc w:val="right"/>
              <w:spacing w:after="0"/>
              <w:rPr>
                <w:sz w:val="20"/>
                <w:szCs w:val="20"/>
                <w:color w:val="auto"/>
              </w:rPr>
            </w:pPr>
            <w:r>
              <w:rPr>
                <w:rFonts w:ascii="Arial" w:cs="Arial" w:eastAsia="Arial" w:hAnsi="Arial"/>
                <w:sz w:val="14"/>
                <w:szCs w:val="14"/>
                <w:color w:val="auto"/>
              </w:rPr>
              <w:t>598,540</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586,789</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33,937,983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57.84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33,964,162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57.88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20" w:type="dxa"/>
            <w:vAlign w:val="bottom"/>
          </w:tcPr>
          <w:p>
            <w:pPr>
              <w:jc w:val="right"/>
              <w:spacing w:after="0"/>
              <w:rPr>
                <w:sz w:val="20"/>
                <w:szCs w:val="20"/>
                <w:color w:val="auto"/>
              </w:rPr>
            </w:pPr>
            <w:r>
              <w:rPr>
                <w:rFonts w:ascii="Arial" w:cs="Arial" w:eastAsia="Arial" w:hAnsi="Arial"/>
                <w:sz w:val="14"/>
                <w:szCs w:val="14"/>
                <w:color w:val="auto"/>
              </w:rPr>
              <w:t>34,271</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33,157</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2,955,581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89.14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2,973,062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89.67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142,837</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123,693</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8,076,724</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8,201,271</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880,955</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846,690</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50,848,874</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50,781,915</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1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 w:lineRule="exact"/>
        <w:rPr>
          <w:sz w:val="20"/>
          <w:szCs w:val="20"/>
          <w:color w:val="auto"/>
        </w:rPr>
      </w:pPr>
    </w:p>
    <w:p>
      <w:pPr>
        <w:ind w:left="80" w:right="200" w:hanging="72"/>
        <w:spacing w:after="0" w:line="226" w:lineRule="auto"/>
        <w:tabs>
          <w:tab w:leader="none" w:pos="78"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 dates. In those cases, the data is included in the year in which the future lease expires.</w:t>
      </w:r>
    </w:p>
    <w:p>
      <w:pPr>
        <w:ind w:left="80" w:hanging="72"/>
        <w:spacing w:after="0" w:line="237" w:lineRule="auto"/>
        <w:tabs>
          <w:tab w:leader="none" w:pos="8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265" w:right="339" w:bottom="1440" w:gutter="0" w:footer="0" w:header="0"/>
          <w:type w:val="continuous"/>
        </w:sectPr>
      </w:pPr>
    </w:p>
    <w:bookmarkStart w:id="49" w:name="page50"/>
    <w:bookmarkEnd w:id="49"/>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Los Angeles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9"/>
        </w:trPr>
        <w:tc>
          <w:tcPr>
            <w:tcW w:w="1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210,069</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14,257,144</w:t>
            </w:r>
          </w:p>
        </w:tc>
        <w:tc>
          <w:tcPr>
            <w:tcW w:w="2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14,257,144</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30,974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30,974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2,343,618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75.66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2,421,264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4,573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4,573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320,973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70.19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342,108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74.81</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29,618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29,618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1,893,725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63.94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2,061,519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69.60</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246,857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149,060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12,227,233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82.03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13,768,490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92.37</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415,771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240,815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16,660,930</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69.19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19,139,431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79.48</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19,977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19,977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1,302,894</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65.22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1,606,607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80.42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7,311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7,311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616,311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84.30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637,279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87.17</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237,933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118,967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10,048,733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84.47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12,581,803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105.76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186,894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93,447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6,267,128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67.07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10,968,762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117.38</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494,641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494,641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37,206,191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75.22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45,715,381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92.42</w:t>
            </w:r>
          </w:p>
        </w:tc>
        <w:tc>
          <w:tcPr>
            <w:tcW w:w="0" w:type="dxa"/>
            <w:vAlign w:val="bottom"/>
          </w:tcPr>
          <w:p>
            <w:pPr>
              <w:spacing w:after="0"/>
              <w:rPr>
                <w:sz w:val="1"/>
                <w:szCs w:val="1"/>
                <w:color w:val="auto"/>
              </w:rPr>
            </w:pPr>
          </w:p>
        </w:tc>
      </w:tr>
      <w:tr>
        <w:trPr>
          <w:trHeight w:val="532"/>
        </w:trPr>
        <w:tc>
          <w:tcPr>
            <w:tcW w:w="148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$/PSF</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6,081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6,081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640,003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105.25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659,705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108.49</w:t>
            </w:r>
          </w:p>
        </w:tc>
        <w:tc>
          <w:tcPr>
            <w:tcW w:w="0" w:type="dxa"/>
            <w:vAlign w:val="bottom"/>
          </w:tcPr>
          <w:p>
            <w:pPr>
              <w:spacing w:after="0"/>
              <w:rPr>
                <w:sz w:val="1"/>
                <w:szCs w:val="1"/>
                <w:color w:val="auto"/>
              </w:rPr>
            </w:pPr>
          </w:p>
        </w:tc>
      </w:tr>
      <w:tr>
        <w:trPr>
          <w:trHeight w:val="202"/>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19,188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9,594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135,600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1,770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43,270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48.89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43,270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48.89</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38,118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38,118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2,255,700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59.18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2,490,720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65.34</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5,283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5,283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650,875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123.20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746,452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141.29</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25,820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15,824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916,880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57.94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883,759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533"/>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5"/>
                <w:szCs w:val="15"/>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Footage Subject to</w:t>
            </w:r>
          </w:p>
        </w:tc>
        <w:tc>
          <w:tcPr>
            <w:tcW w:w="14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308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8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210,069</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14,257,144</w:t>
            </w:r>
          </w:p>
        </w:tc>
        <w:tc>
          <w:tcPr>
            <w:tcW w:w="2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14,257,144</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37,055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37,055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2,983,621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80.52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3,080,969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83.15</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23,761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456,573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32.23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477,708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29,618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29,618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1,893,725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63.94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2,061,519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69.60</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248,627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149,945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12,270,503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81.83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13,811,760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92.11</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453,889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278,933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18,916,630</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67.82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21,630,151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77.55</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25,260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25,260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1,953,769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77.35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2,353,059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93.15</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7,311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7,311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616,311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84.30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637,279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87.17</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237,933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118,967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10,048,733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84.47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12,581,803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105.76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186,894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93,447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6,267,128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67.07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10,968,762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117.38</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520,461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510,465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38,123,071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74.68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46,599,140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91.29</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4"/>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84"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265" w:right="339" w:bottom="1440" w:gutter="0" w:footer="0" w:header="0"/>
          <w:type w:val="continuous"/>
        </w:sectPr>
      </w:pPr>
    </w:p>
    <w:bookmarkStart w:id="50" w:name="page51"/>
    <w:bookmarkEnd w:id="50"/>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Los Angeles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Rentable Square</w:t>
            </w:r>
          </w:p>
        </w:tc>
        <w:tc>
          <w:tcPr>
            <w:tcW w:w="3160" w:type="dxa"/>
            <w:vAlign w:val="bottom"/>
            <w:gridSpan w:val="6"/>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00" w:type="dxa"/>
            <w:vAlign w:val="bottom"/>
            <w:tcBorders>
              <w:right w:val="single" w:sz="8" w:color="auto"/>
            </w:tcBorders>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0"/>
        </w:trPr>
        <w:tc>
          <w:tcPr>
            <w:tcW w:w="1660" w:type="dxa"/>
            <w:vAlign w:val="bottom"/>
            <w:gridSpan w:val="2"/>
            <w:vMerge w:val="continue"/>
          </w:tcPr>
          <w:p>
            <w:pPr>
              <w:spacing w:after="0"/>
              <w:rPr>
                <w:sz w:val="9"/>
                <w:szCs w:val="9"/>
                <w:color w:val="auto"/>
              </w:rPr>
            </w:pPr>
          </w:p>
        </w:tc>
        <w:tc>
          <w:tcPr>
            <w:tcW w:w="1600" w:type="dxa"/>
            <w:vAlign w:val="bottom"/>
            <w:tcBorders>
              <w:right w:val="single" w:sz="8" w:color="auto"/>
            </w:tcBorders>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Footage Subject to</w:t>
            </w:r>
          </w:p>
        </w:tc>
        <w:tc>
          <w:tcPr>
            <w:tcW w:w="1560" w:type="dxa"/>
            <w:vAlign w:val="bottom"/>
            <w:gridSpan w:val="2"/>
          </w:tcPr>
          <w:p>
            <w:pPr>
              <w:jc w:val="center"/>
              <w:ind w:right="140"/>
              <w:spacing w:after="0" w:line="105"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5"/>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4,944</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4,944</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365,686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73.97</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379,804</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766</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766</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49,706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64.89</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49,706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25,264</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25,264</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1,928,226</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1,991,754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78.84</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30,974</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30,974</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2,343,618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2,421,264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16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Rentable Square</w:t>
            </w:r>
          </w:p>
        </w:tc>
        <w:tc>
          <w:tcPr>
            <w:tcW w:w="3160" w:type="dxa"/>
            <w:vAlign w:val="bottom"/>
            <w:gridSpan w:val="6"/>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00" w:type="dxa"/>
            <w:vAlign w:val="bottom"/>
            <w:tcBorders>
              <w:right w:val="single" w:sz="8" w:color="auto"/>
            </w:tcBorders>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2"/>
        </w:trPr>
        <w:tc>
          <w:tcPr>
            <w:tcW w:w="1660" w:type="dxa"/>
            <w:vAlign w:val="bottom"/>
            <w:gridSpan w:val="2"/>
            <w:vMerge w:val="continue"/>
          </w:tcPr>
          <w:p>
            <w:pPr>
              <w:spacing w:after="0"/>
              <w:rPr>
                <w:sz w:val="9"/>
                <w:szCs w:val="9"/>
                <w:color w:val="auto"/>
              </w:rPr>
            </w:pPr>
          </w:p>
        </w:tc>
        <w:tc>
          <w:tcPr>
            <w:tcW w:w="160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Footage Subject to</w:t>
            </w:r>
          </w:p>
        </w:tc>
        <w:tc>
          <w:tcPr>
            <w:tcW w:w="156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5"/>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6,081</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6,081</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640,003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105.25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659,705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108.49</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6,081</w:t>
            </w:r>
          </w:p>
        </w:tc>
        <w:tc>
          <w:tcPr>
            <w:tcW w:w="2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6,081</w:t>
            </w:r>
          </w:p>
        </w:tc>
        <w:tc>
          <w:tcPr>
            <w:tcW w:w="1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640,003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105.25</w:t>
            </w:r>
          </w:p>
        </w:tc>
        <w:tc>
          <w:tcPr>
            <w:tcW w:w="1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659,705</w:t>
            </w:r>
          </w:p>
        </w:tc>
        <w:tc>
          <w:tcPr>
            <w:tcW w:w="2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108.49</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32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Rentable Square</w:t>
            </w:r>
          </w:p>
        </w:tc>
        <w:tc>
          <w:tcPr>
            <w:tcW w:w="3160" w:type="dxa"/>
            <w:vAlign w:val="bottom"/>
            <w:gridSpan w:val="6"/>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00" w:type="dxa"/>
            <w:vAlign w:val="bottom"/>
            <w:tcBorders>
              <w:right w:val="single" w:sz="8" w:color="auto"/>
            </w:tcBorders>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2"/>
        </w:trPr>
        <w:tc>
          <w:tcPr>
            <w:tcW w:w="1660" w:type="dxa"/>
            <w:vAlign w:val="bottom"/>
            <w:gridSpan w:val="2"/>
            <w:vMerge w:val="continue"/>
          </w:tcPr>
          <w:p>
            <w:pPr>
              <w:spacing w:after="0"/>
              <w:rPr>
                <w:sz w:val="9"/>
                <w:szCs w:val="9"/>
                <w:color w:val="auto"/>
              </w:rPr>
            </w:pPr>
          </w:p>
        </w:tc>
        <w:tc>
          <w:tcPr>
            <w:tcW w:w="160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Footage Subject to</w:t>
            </w:r>
          </w:p>
        </w:tc>
        <w:tc>
          <w:tcPr>
            <w:tcW w:w="156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5"/>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210,069</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14,257,144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4,944</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4,944</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365,686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73.97</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379,804</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766</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766</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49,706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64.89</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49,706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202"/>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6,081</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6,081</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640,003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105.25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659,705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108.49</w:t>
            </w: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25,264</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25,264</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1,928,226</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1,991,754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78.84</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37,055</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37,055</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2,983,621</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3,080,969</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83.15</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5"/>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84"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265" w:right="339" w:bottom="1440" w:gutter="0" w:footer="0" w:header="0"/>
          <w:type w:val="continuous"/>
        </w:sectPr>
      </w:pPr>
    </w:p>
    <w:bookmarkStart w:id="51" w:name="page52"/>
    <w:bookmarkEnd w:id="5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New York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30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vMerge w:val="restart"/>
          </w:tcPr>
          <w:p>
            <w:pPr>
              <w:spacing w:after="0"/>
              <w:rPr>
                <w:sz w:val="5"/>
                <w:szCs w:val="5"/>
                <w:color w:val="auto"/>
              </w:rPr>
            </w:pPr>
          </w:p>
        </w:tc>
        <w:tc>
          <w:tcPr>
            <w:tcW w:w="3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500" w:type="dxa"/>
            <w:vAlign w:val="bottom"/>
            <w:gridSpan w:val="4"/>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300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04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5"/>
                <w:szCs w:val="15"/>
                <w:color w:val="auto"/>
              </w:rPr>
            </w:pPr>
          </w:p>
        </w:tc>
        <w:tc>
          <w:tcPr>
            <w:tcW w:w="158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$/PSF</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94,445</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90,594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5,884,840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64.96</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5,888,202</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65.00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920,638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614,858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57,226,198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93.07</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57,281,150</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701,769</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563,086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38,771,117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68.85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40,203,826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370,475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330,576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20,603,993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62.33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20,973,449</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63.45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631,013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436,590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40,841,129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93.55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42,012,444</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96.23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925,223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841,724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73,283,542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87.06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78,046,385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92.72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760,276</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708,511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65,697,225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92.73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70,736,364</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99.84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355,154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305,035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22,861,194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74.95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24,214,127</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79.38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281,561</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191,348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13,250,288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69.25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13,678,918</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347,701</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311,439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34,495,072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110.76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37,541,468</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120.54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4,814,611</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3,368,833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327,839,193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97.32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380,185,659</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112.85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146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30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vMerge w:val="restart"/>
          </w:tcPr>
          <w:p>
            <w:pPr>
              <w:spacing w:after="0"/>
              <w:rPr>
                <w:sz w:val="5"/>
                <w:szCs w:val="5"/>
                <w:color w:val="auto"/>
              </w:rPr>
            </w:pPr>
          </w:p>
        </w:tc>
        <w:tc>
          <w:tcPr>
            <w:tcW w:w="3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2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04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$/PSF</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10,118</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1,345,694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133.00</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1,345,694</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133.00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4,894</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4,894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91.95</w:t>
            </w:r>
          </w:p>
        </w:tc>
        <w:tc>
          <w:tcPr>
            <w:tcW w:w="2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510,000</w:t>
            </w:r>
          </w:p>
        </w:tc>
        <w:tc>
          <w:tcPr>
            <w:tcW w:w="16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104.21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24,539</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21,918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10,896,293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497.13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11,362,079</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518.39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7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2,424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201,123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310.87</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210,828</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325.87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9,577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1,763,102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310.90</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1,955,286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344.78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1,023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309,000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302.05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368,962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360.67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22,711</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5,102,959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311.26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5,789,466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353.13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12,182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11,064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1,016,366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91.86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1,238,857</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111.97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19,279</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19,279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4,236,406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219.74</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4,798,230</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248.88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283,464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158,917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42,736,943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268.93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41,932,076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263.86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5"/>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30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vMerge w:val="restart"/>
          </w:tcPr>
          <w:p>
            <w:pPr>
              <w:spacing w:after="0"/>
              <w:rPr>
                <w:sz w:val="7"/>
                <w:szCs w:val="7"/>
                <w:color w:val="auto"/>
              </w:rPr>
            </w:pPr>
          </w:p>
        </w:tc>
        <w:tc>
          <w:tcPr>
            <w:tcW w:w="3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Footage Subject to</w:t>
            </w:r>
          </w:p>
        </w:tc>
        <w:tc>
          <w:tcPr>
            <w:tcW w:w="1500" w:type="dxa"/>
            <w:vAlign w:val="bottom"/>
            <w:gridSpan w:val="4"/>
          </w:tcPr>
          <w:p>
            <w:pPr>
              <w:jc w:val="center"/>
              <w:ind w:right="220"/>
              <w:spacing w:after="0" w:line="107" w:lineRule="exact"/>
              <w:rPr>
                <w:sz w:val="20"/>
                <w:szCs w:val="20"/>
                <w:color w:val="auto"/>
              </w:rPr>
            </w:pPr>
            <w:r>
              <w:rPr>
                <w:rFonts w:ascii="Arial" w:cs="Arial" w:eastAsia="Arial" w:hAnsi="Arial"/>
                <w:sz w:val="12"/>
                <w:szCs w:val="12"/>
                <w:b w:val="1"/>
                <w:bCs w:val="1"/>
                <w:color w:val="auto"/>
              </w:rPr>
              <w:t>Footage Subject to</w:t>
            </w:r>
          </w:p>
        </w:tc>
        <w:tc>
          <w:tcPr>
            <w:tcW w:w="3000" w:type="dxa"/>
            <w:vAlign w:val="bottom"/>
            <w:tcBorders>
              <w:bottom w:val="single" w:sz="8" w:color="auto"/>
            </w:tcBorders>
            <w:gridSpan w:val="5"/>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4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7"/>
                <w:szCs w:val="17"/>
                <w:color w:val="auto"/>
              </w:rPr>
            </w:pPr>
          </w:p>
        </w:tc>
        <w:tc>
          <w:tcPr>
            <w:tcW w:w="158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$/PSF</w:t>
            </w:r>
          </w:p>
        </w:tc>
        <w:tc>
          <w:tcPr>
            <w:tcW w:w="20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104,563</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100,712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7,230,534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71.79</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7,233,896</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71.83</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925,532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619,752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57,676,198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93.06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57,791,150</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93.25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726,308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585,004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49,667,410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84.90</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51,565,905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88.15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370,475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330,576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20,603,993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62.33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20,973,449</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63.45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633,437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437,237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41,042,252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93.87</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42,223,272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96.57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934,800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847,395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75,046,644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88.56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80,001,671</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94.41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761,299</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709,534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66,006,225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93.03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71,105,326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377,865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321,430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27,964,153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87.00</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30,003,593</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293,743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202,412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14,266,654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70.48</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14,917,775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73.70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366,980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330,718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38,731,478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117.11</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42,339,698</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128.02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5,098,075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3,527,750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370,576,136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105.05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422,117,735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119.66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6"/>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ind w:left="80" w:right="200" w:hanging="81"/>
        <w:spacing w:after="0" w:line="229"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Does not include data for leases expiring in a particular year when leases for the same space have already been signed with replacement clients with future commencement 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265" w:right="339" w:bottom="1440" w:gutter="0" w:footer="0" w:header="0"/>
          <w:type w:val="continuous"/>
        </w:sectPr>
      </w:pPr>
    </w:p>
    <w:bookmarkStart w:id="52" w:name="page53"/>
    <w:bookmarkEnd w:id="5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New York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40"/>
              <w:spacing w:after="0" w:line="105"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5"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00" w:type="dxa"/>
            <w:vAlign w:val="bottom"/>
          </w:tcPr>
          <w:p>
            <w:pPr>
              <w:jc w:val="right"/>
              <w:spacing w:after="0"/>
              <w:rPr>
                <w:sz w:val="20"/>
                <w:szCs w:val="20"/>
                <w:color w:val="auto"/>
              </w:rPr>
            </w:pPr>
            <w:r>
              <w:rPr>
                <w:rFonts w:ascii="Arial" w:cs="Arial" w:eastAsia="Arial" w:hAnsi="Arial"/>
                <w:sz w:val="14"/>
                <w:szCs w:val="14"/>
                <w:color w:val="auto"/>
              </w:rPr>
              <w:t>28,233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28,233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1,256,373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44.50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1,256,373</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44.50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66,212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62,361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4,628,467</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4,631,829</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94,445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5,884,840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5,888,202</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467,300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186,004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19,875,236</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106.85</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19,878,576</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148,149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131,203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12,609,579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96.11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12,609,579</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96.11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126,901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123,072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11,354,840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92.26</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11,390,326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13,386,543</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76.68</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13,402,669</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920,638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614,858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57,226,198</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93.07</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57,281,150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5"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Expiring Leases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1,345,694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1,345,694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1,345,694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1,345,694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41.96</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30,000</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420,000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100.50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480,000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114.86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4,894</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450,000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91.95</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510,000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7"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00" w:type="dxa"/>
            <w:vAlign w:val="bottom"/>
          </w:tcPr>
          <w:p>
            <w:pPr>
              <w:jc w:val="right"/>
              <w:spacing w:after="0"/>
              <w:rPr>
                <w:sz w:val="20"/>
                <w:szCs w:val="20"/>
                <w:color w:val="auto"/>
              </w:rPr>
            </w:pPr>
            <w:r>
              <w:rPr>
                <w:rFonts w:ascii="Arial" w:cs="Arial" w:eastAsia="Arial" w:hAnsi="Arial"/>
                <w:sz w:val="14"/>
                <w:szCs w:val="14"/>
                <w:color w:val="auto"/>
              </w:rPr>
              <w:t>28,233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28,233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1,256,373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44.50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1,256,373</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44.50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72,479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5,974,161</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5,977,523</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104,563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7,230,534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71.79</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7,233,896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468,015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186,719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19,905,236</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106.61</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19,908,576</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148,149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131,203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12,609,579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96.11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12,609,579</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96.11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131,080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127,251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11,774,840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92.53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11,870,326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13,386,543</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76.68</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13,402,669</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925,532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619,752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57,676,198</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57,791,150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7"/>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265" w:right="339" w:bottom="1440" w:gutter="0" w:footer="0" w:header="0"/>
          <w:type w:val="continuous"/>
        </w:sectPr>
      </w:pPr>
    </w:p>
    <w:bookmarkStart w:id="53" w:name="page54"/>
    <w:bookmarkEnd w:id="53"/>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San Francisco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Borders>
              <w:right w:val="single" w:sz="8" w:color="auto"/>
            </w:tcBorders>
            <w:gridSpan w:val="3"/>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308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vMerge w:val="restart"/>
          </w:tcPr>
          <w:p>
            <w:pPr>
              <w:spacing w:after="0"/>
              <w:rPr>
                <w:sz w:val="7"/>
                <w:szCs w:val="7"/>
                <w:color w:val="auto"/>
              </w:rPr>
            </w:pPr>
          </w:p>
        </w:tc>
        <w:tc>
          <w:tcPr>
            <w:tcW w:w="3000" w:type="dxa"/>
            <w:vAlign w:val="bottom"/>
            <w:tcBorders>
              <w:right w:val="single" w:sz="8" w:color="auto"/>
            </w:tcBorders>
            <w:gridSpan w:val="3"/>
            <w:vMerge w:val="restart"/>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3"/>
          </w:tcPr>
          <w:p>
            <w:pPr>
              <w:jc w:val="center"/>
              <w:ind w:right="220"/>
              <w:spacing w:after="0" w:line="105" w:lineRule="exact"/>
              <w:rPr>
                <w:sz w:val="20"/>
                <w:szCs w:val="20"/>
                <w:color w:val="auto"/>
              </w:rPr>
            </w:pPr>
            <w:r>
              <w:rPr>
                <w:rFonts w:ascii="Arial" w:cs="Arial" w:eastAsia="Arial" w:hAnsi="Arial"/>
                <w:sz w:val="12"/>
                <w:szCs w:val="12"/>
                <w:b w:val="1"/>
                <w:bCs w:val="1"/>
                <w:color w:val="auto"/>
              </w:rPr>
              <w:t>Footage Subject to</w:t>
            </w:r>
          </w:p>
        </w:tc>
        <w:tc>
          <w:tcPr>
            <w:tcW w:w="1480" w:type="dxa"/>
            <w:vAlign w:val="bottom"/>
            <w:gridSpan w:val="3"/>
          </w:tcPr>
          <w:p>
            <w:pPr>
              <w:jc w:val="center"/>
              <w:ind w:right="220"/>
              <w:spacing w:after="0" w:line="105" w:lineRule="exact"/>
              <w:rPr>
                <w:sz w:val="20"/>
                <w:szCs w:val="20"/>
                <w:color w:val="auto"/>
              </w:rPr>
            </w:pPr>
            <w:r>
              <w:rPr>
                <w:rFonts w:ascii="Arial" w:cs="Arial" w:eastAsia="Arial" w:hAnsi="Arial"/>
                <w:sz w:val="12"/>
                <w:szCs w:val="12"/>
                <w:b w:val="1"/>
                <w:bCs w:val="1"/>
                <w:color w:val="auto"/>
              </w:rPr>
              <w:t>Footage Subject to</w:t>
            </w:r>
          </w:p>
        </w:tc>
        <w:tc>
          <w:tcPr>
            <w:tcW w:w="3080" w:type="dxa"/>
            <w:vAlign w:val="bottom"/>
            <w:tcBorders>
              <w:bottom w:val="single" w:sz="8" w:color="auto"/>
            </w:tcBorders>
            <w:gridSpan w:val="6"/>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4</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185,039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173,332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15,630,700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15,693,554</w:t>
            </w:r>
          </w:p>
        </w:tc>
        <w:tc>
          <w:tcPr>
            <w:tcW w:w="1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90.54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579,695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542,585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42,963,971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43,475,136</w:t>
            </w: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606,989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515,897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51,043,729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51,812,610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542,248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531,284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52,560,471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98.93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55,608,075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652,616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622,581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56,680,194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61,159,030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98.23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471,768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411,565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38,253,913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42,835,310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411,500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399,887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33,644,484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38,810,360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97.05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943,366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916,660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99,473,540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109,116,748</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119.04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342,780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312,263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25,068,702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30,494,621</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650,051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650,051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67,375,122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77,606,673</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119.39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536,802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419,200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37,547,032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49,470,431</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146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3"/>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Borders>
              <w:right w:val="single" w:sz="8" w:color="auto"/>
            </w:tcBorders>
            <w:gridSpan w:val="3"/>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310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00" w:type="dxa"/>
            <w:vAlign w:val="bottom"/>
            <w:tcBorders>
              <w:right w:val="single" w:sz="8" w:color="auto"/>
            </w:tcBorders>
            <w:gridSpan w:val="3"/>
            <w:vMerge w:val="restart"/>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3"/>
          </w:tcPr>
          <w:p>
            <w:pPr>
              <w:jc w:val="center"/>
              <w:ind w:right="180"/>
              <w:spacing w:after="0" w:line="105" w:lineRule="exact"/>
              <w:rPr>
                <w:sz w:val="20"/>
                <w:szCs w:val="20"/>
                <w:color w:val="auto"/>
              </w:rPr>
            </w:pPr>
            <w:r>
              <w:rPr>
                <w:rFonts w:ascii="Arial" w:cs="Arial" w:eastAsia="Arial" w:hAnsi="Arial"/>
                <w:sz w:val="12"/>
                <w:szCs w:val="12"/>
                <w:b w:val="1"/>
                <w:bCs w:val="1"/>
                <w:color w:val="auto"/>
              </w:rPr>
              <w:t>Footage Subject to</w:t>
            </w:r>
          </w:p>
        </w:tc>
        <w:tc>
          <w:tcPr>
            <w:tcW w:w="1480" w:type="dxa"/>
            <w:vAlign w:val="bottom"/>
            <w:gridSpan w:val="3"/>
          </w:tcPr>
          <w:p>
            <w:pPr>
              <w:jc w:val="center"/>
              <w:ind w:right="180"/>
              <w:spacing w:after="0" w:line="105" w:lineRule="exact"/>
              <w:rPr>
                <w:sz w:val="20"/>
                <w:szCs w:val="20"/>
                <w:color w:val="auto"/>
              </w:rPr>
            </w:pPr>
            <w:r>
              <w:rPr>
                <w:rFonts w:ascii="Arial" w:cs="Arial" w:eastAsia="Arial" w:hAnsi="Arial"/>
                <w:sz w:val="12"/>
                <w:szCs w:val="12"/>
                <w:b w:val="1"/>
                <w:bCs w:val="1"/>
                <w:color w:val="auto"/>
              </w:rPr>
              <w:t>Footage Subject to</w:t>
            </w:r>
          </w:p>
        </w:tc>
        <w:tc>
          <w:tcPr>
            <w:tcW w:w="3100" w:type="dxa"/>
            <w:vAlign w:val="bottom"/>
            <w:tcBorders>
              <w:bottom w:val="single" w:sz="8" w:color="auto"/>
            </w:tcBorders>
            <w:gridSpan w:val="7"/>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8,766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8,766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682,460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77.85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686,735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10,259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758,784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806,938</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12,566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12,566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423,368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530,933</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17,722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17,722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1,390,155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1,381,140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3,403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319,849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348,627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102.45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15,689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1,024,388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1,313,402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83.71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30,155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26,801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1,686,079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1,915,101</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6,357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437,197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490,576</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21,063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2,033,803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2,251,047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106.87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31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3"/>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Borders>
              <w:right w:val="single" w:sz="8" w:color="auto"/>
            </w:tcBorders>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308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vMerge w:val="restart"/>
          </w:tcPr>
          <w:p>
            <w:pPr>
              <w:spacing w:after="0"/>
              <w:rPr>
                <w:sz w:val="5"/>
                <w:szCs w:val="5"/>
                <w:color w:val="auto"/>
              </w:rPr>
            </w:pPr>
          </w:p>
        </w:tc>
        <w:tc>
          <w:tcPr>
            <w:tcW w:w="3000" w:type="dxa"/>
            <w:vAlign w:val="bottom"/>
            <w:tcBorders>
              <w:right w:val="single" w:sz="8" w:color="auto"/>
            </w:tcBorders>
            <w:gridSpan w:val="3"/>
            <w:vMerge w:val="restart"/>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6"/>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3000" w:type="dxa"/>
            <w:vAlign w:val="bottom"/>
            <w:tcBorders>
              <w:bottom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4</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185,039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173,332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15,630,700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15,693,554</w:t>
            </w:r>
          </w:p>
        </w:tc>
        <w:tc>
          <w:tcPr>
            <w:tcW w:w="1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90.54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588,461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551,351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43,646,431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79.16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44,161,871</w:t>
            </w: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617,248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526,156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51,802,513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52,619,548</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554,814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543,850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52,983,839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97.42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56,139,008</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103.23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670,338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640,303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58,070,349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90.69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62,540,170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97.67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475,171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414,968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38,573,762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43,183,937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427,189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415,576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34,668,872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83.42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40,123,762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96.55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973,521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943,461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101,159,619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111,031,849</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117.69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349,137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318,620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25,505,899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30,985,197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97.25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671,114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671,114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69,408,925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103.42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79,857,720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536,802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419,200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37,547,032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49,470,431</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12"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ind w:left="80" w:right="20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265" w:right="339" w:bottom="1440" w:gutter="0" w:footer="0" w:header="0"/>
          <w:type w:val="continuous"/>
        </w:sectPr>
      </w:pPr>
    </w:p>
    <w:bookmarkStart w:id="54" w:name="page55"/>
    <w:bookmarkEnd w:id="5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San Francisco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2"/>
                <w:szCs w:val="12"/>
                <w:color w:val="auto"/>
              </w:rPr>
            </w:pPr>
          </w:p>
        </w:tc>
        <w:tc>
          <w:tcPr>
            <w:tcW w:w="300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40"/>
              <w:spacing w:after="0" w:line="105"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5"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00" w:type="dxa"/>
            <w:vAlign w:val="bottom"/>
          </w:tcPr>
          <w:p>
            <w:pPr>
              <w:jc w:val="right"/>
              <w:spacing w:after="0"/>
              <w:rPr>
                <w:sz w:val="20"/>
                <w:szCs w:val="20"/>
                <w:color w:val="auto"/>
              </w:rPr>
            </w:pPr>
            <w:r>
              <w:rPr>
                <w:rFonts w:ascii="Arial" w:cs="Arial" w:eastAsia="Arial" w:hAnsi="Arial"/>
                <w:sz w:val="14"/>
                <w:szCs w:val="14"/>
                <w:color w:val="auto"/>
              </w:rPr>
              <w:t>17,967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845,254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76.87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845,254</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76.87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167,072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162,336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14,785,446</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14,848,300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15,630,700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15,693,554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94,336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93,016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7,246,612</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77.91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7,246,612</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113,117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99,562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8,552,756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85.90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8,610,749</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86.49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269,442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256,115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18,486,074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18,726,707</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8,678,528</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8,891,068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579,695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542,585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42,963,971</w:t>
            </w:r>
          </w:p>
        </w:tc>
        <w:tc>
          <w:tcPr>
            <w:tcW w:w="1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43,475,136</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2"/>
                <w:szCs w:val="12"/>
                <w:color w:val="auto"/>
              </w:rPr>
            </w:pPr>
          </w:p>
        </w:tc>
        <w:tc>
          <w:tcPr>
            <w:tcW w:w="300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5"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Pr>
          <w:p>
            <w:pPr>
              <w:spacing w:after="0"/>
              <w:rPr>
                <w:sz w:val="9"/>
                <w:szCs w:val="9"/>
                <w:color w:val="auto"/>
              </w:rPr>
            </w:pPr>
          </w:p>
        </w:tc>
        <w:tc>
          <w:tcPr>
            <w:tcW w:w="298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Expiring Leases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21,920</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21,920.16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21,920</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21,920.16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3,345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3,345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169,341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169,341</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472,395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476,180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95.24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18,803</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8,766</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682,460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77.85</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686,735</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2"/>
                <w:szCs w:val="12"/>
                <w:color w:val="auto"/>
              </w:rPr>
            </w:pPr>
          </w:p>
        </w:tc>
        <w:tc>
          <w:tcPr>
            <w:tcW w:w="300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7"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00" w:type="dxa"/>
            <w:vAlign w:val="bottom"/>
          </w:tcPr>
          <w:p>
            <w:pPr>
              <w:jc w:val="right"/>
              <w:spacing w:after="0"/>
              <w:rPr>
                <w:sz w:val="20"/>
                <w:szCs w:val="20"/>
                <w:color w:val="auto"/>
              </w:rPr>
            </w:pPr>
            <w:r>
              <w:rPr>
                <w:rFonts w:ascii="Arial" w:cs="Arial" w:eastAsia="Arial" w:hAnsi="Arial"/>
                <w:sz w:val="14"/>
                <w:szCs w:val="14"/>
                <w:color w:val="auto"/>
              </w:rPr>
              <w:t>17,967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845,254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76.87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845,254</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76.87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167,072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162,336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14,785,446</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14,848,300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15,630,700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15,693,554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94,337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93,017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7,268,532</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7,268,532</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116,462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102,907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8,722,097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84.76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8,780,090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274,442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261,115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18,958,469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72.61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19,202,887</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8,697,331</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8,910,362</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588,461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551,351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43,646,431</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44,161,871</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9"/>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265" w:right="339" w:bottom="1440" w:gutter="0" w:footer="0" w:header="0"/>
          <w:type w:val="continuous"/>
        </w:sectPr>
      </w:pPr>
    </w:p>
    <w:bookmarkStart w:id="55" w:name="page56"/>
    <w:bookmarkEnd w:id="55"/>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Seattle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9"/>
        </w:trPr>
        <w:tc>
          <w:tcPr>
            <w:tcW w:w="1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5"/>
                <w:szCs w:val="15"/>
                <w:color w:val="auto"/>
              </w:rPr>
            </w:pPr>
          </w:p>
        </w:tc>
        <w:tc>
          <w:tcPr>
            <w:tcW w:w="16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134,144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4,865,769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5,233,791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66,610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65,742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4,000,623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60.85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4,161,600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63.30</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77,785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74,224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4,398,274</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4,635,712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62.46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592,670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293,733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16,544,571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17,688,475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187,380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167,322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9,229,226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55.16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9,488,543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56.71</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33,054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33,054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2,018,716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61.07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2,257,566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68.30</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4,742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1,597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91,717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57.44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106,150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66.48</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64,737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51,388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3,864,087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75.19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4,559,063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88.72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40,529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13,646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962,285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1,208,814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88.58</w:t>
            </w:r>
          </w:p>
        </w:tc>
        <w:tc>
          <w:tcPr>
            <w:tcW w:w="0" w:type="dxa"/>
            <w:vAlign w:val="bottom"/>
          </w:tcPr>
          <w:p>
            <w:pPr>
              <w:spacing w:after="0"/>
              <w:rPr>
                <w:sz w:val="1"/>
                <w:szCs w:val="1"/>
                <w:color w:val="auto"/>
              </w:rPr>
            </w:pPr>
          </w:p>
        </w:tc>
      </w:tr>
      <w:tr>
        <w:trPr>
          <w:trHeight w:val="640"/>
        </w:trPr>
        <w:tc>
          <w:tcPr>
            <w:tcW w:w="148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5"/>
                <w:szCs w:val="15"/>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310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2"/>
        </w:trPr>
        <w:tc>
          <w:tcPr>
            <w:tcW w:w="14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Footage Subject to</w:t>
            </w:r>
          </w:p>
        </w:tc>
        <w:tc>
          <w:tcPr>
            <w:tcW w:w="14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310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08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9"/>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3,686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95,390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76.86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95,390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76.86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945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52,787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55.86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57,229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60.56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1,121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7,306</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7,306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3,048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194,836</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63.92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223,274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73.25</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0"/>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19"/>
        </w:trPr>
        <w:tc>
          <w:tcPr>
            <w:tcW w:w="1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5"/>
                <w:szCs w:val="15"/>
                <w:color w:val="auto"/>
              </w:rPr>
            </w:pPr>
          </w:p>
        </w:tc>
        <w:tc>
          <w:tcPr>
            <w:tcW w:w="16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134,144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4,865,769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5,233,791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70,296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66,983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4,096,013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4,256,990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63.55</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77,785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74,224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4,398,274</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4,635,712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62.46</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593,615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294,678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16,597,358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17,745,704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188,501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167,699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9,236,532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55.08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9,495,849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56.62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33,054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33,054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2,018,716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61.07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2,257,566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68.30</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7,790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4,645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286,553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329,424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70.92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64,737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51,388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3,864,087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75.19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4,559,063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88.72</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40,529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13,646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962,285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1,208,814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88.58</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0"/>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84"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265" w:right="339" w:bottom="1440" w:gutter="0" w:footer="0" w:header="0"/>
          <w:type w:val="continuous"/>
        </w:sectPr>
      </w:pPr>
    </w:p>
    <w:bookmarkStart w:id="56" w:name="page57"/>
    <w:bookmarkEnd w:id="56"/>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Seattle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40" w:type="dxa"/>
            <w:vAlign w:val="bottom"/>
            <w:gridSpan w:val="5"/>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2"/>
                <w:szCs w:val="12"/>
                <w:color w:val="auto"/>
              </w:rPr>
            </w:pPr>
          </w:p>
        </w:tc>
        <w:tc>
          <w:tcPr>
            <w:tcW w:w="300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56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rPr>
              <w:t>Footage Subject to</w:t>
            </w: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19,854</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6,685</w:t>
            </w:r>
          </w:p>
        </w:tc>
        <w:tc>
          <w:tcPr>
            <w:tcW w:w="160" w:type="dxa"/>
            <w:vAlign w:val="bottom"/>
          </w:tcPr>
          <w:p>
            <w:pPr>
              <w:spacing w:after="0"/>
              <w:rPr>
                <w:sz w:val="17"/>
                <w:szCs w:val="17"/>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330,395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330,395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49.42</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114,290</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73,782</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4,535,374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4,903,397</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66.46</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134,144</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80,467</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4,865,769</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5,233,791</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4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2"/>
                <w:szCs w:val="12"/>
                <w:color w:val="auto"/>
              </w:rPr>
            </w:pPr>
          </w:p>
        </w:tc>
        <w:tc>
          <w:tcPr>
            <w:tcW w:w="300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98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 with future step-ups</w:t>
            </w:r>
          </w:p>
        </w:tc>
        <w:tc>
          <w:tcPr>
            <w:tcW w:w="0" w:type="dxa"/>
            <w:vAlign w:val="bottom"/>
          </w:tcPr>
          <w:p>
            <w:pPr>
              <w:spacing w:after="0"/>
              <w:rPr>
                <w:sz w:val="1"/>
                <w:szCs w:val="1"/>
                <w:color w:val="auto"/>
              </w:rPr>
            </w:pPr>
          </w:p>
        </w:tc>
      </w:tr>
      <w:tr>
        <w:trPr>
          <w:trHeight w:val="112"/>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15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Footage Subject to</w:t>
            </w:r>
          </w:p>
        </w:tc>
        <w:tc>
          <w:tcPr>
            <w:tcW w:w="298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40" w:type="dxa"/>
            <w:vAlign w:val="bottom"/>
            <w:gridSpan w:val="5"/>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2"/>
                <w:szCs w:val="12"/>
                <w:color w:val="auto"/>
              </w:rPr>
            </w:pPr>
          </w:p>
        </w:tc>
        <w:tc>
          <w:tcPr>
            <w:tcW w:w="300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07"/>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Footage Subject to</w:t>
            </w:r>
          </w:p>
        </w:tc>
        <w:tc>
          <w:tcPr>
            <w:tcW w:w="15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Footage Subject to</w:t>
            </w: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19,854</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6,685</w:t>
            </w:r>
          </w:p>
        </w:tc>
        <w:tc>
          <w:tcPr>
            <w:tcW w:w="160" w:type="dxa"/>
            <w:vAlign w:val="bottom"/>
          </w:tcPr>
          <w:p>
            <w:pPr>
              <w:spacing w:after="0"/>
              <w:rPr>
                <w:sz w:val="17"/>
                <w:szCs w:val="17"/>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330,395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330,395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49.42</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114,290</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73,782</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4,535,374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4,903,397</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66.46</w:t>
            </w: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134,144</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80,467</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4,865,769</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5,233,791</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1"/>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84"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265" w:right="339" w:bottom="1440" w:gutter="0" w:footer="0" w:header="0"/>
          <w:type w:val="continuous"/>
        </w:sectPr>
      </w:pPr>
    </w:p>
    <w:bookmarkStart w:id="57" w:name="page58"/>
    <w:bookmarkEnd w:id="57"/>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Washington, DC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318,213</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318,213</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15,821,113</w:t>
            </w:r>
          </w:p>
        </w:tc>
        <w:tc>
          <w:tcPr>
            <w:tcW w:w="2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49.72</w:t>
            </w:r>
          </w:p>
        </w:tc>
        <w:tc>
          <w:tcPr>
            <w:tcW w:w="1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15,821,113</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49.72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289,971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276,229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17,660,619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63.93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17,846,896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347,958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283,888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19,671,067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69.29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20,288,108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565,803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435,138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25,908,902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59.54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27,443,070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63.07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157,257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153,512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9,860,762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64.23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10,674,220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277,474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250,523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14,961,484</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59.72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16,612,488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157,017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134,427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8,205,165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61.04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9,349,590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144,674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133,256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7,502,512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56.30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8,687,478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818,864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798,053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54,574,397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68.38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62,884,809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979,568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976,416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55,420,095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56.76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67,932,128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3,500,395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3,120,582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187,785,631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60.18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237,240,954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0"/>
        </w:trPr>
        <w:tc>
          <w:tcPr>
            <w:tcW w:w="1460" w:type="dxa"/>
            <w:vAlign w:val="bottom"/>
          </w:tcPr>
          <w:p>
            <w:pPr>
              <w:spacing w:after="0"/>
              <w:rPr>
                <w:sz w:val="20"/>
                <w:szCs w:val="20"/>
                <w:color w:val="auto"/>
              </w:rPr>
            </w:pPr>
            <w:r>
              <w:rPr>
                <w:rFonts w:ascii="Arial" w:cs="Arial" w:eastAsia="Arial" w:hAnsi="Arial"/>
                <w:sz w:val="14"/>
                <w:szCs w:val="14"/>
                <w:b w:val="1"/>
                <w:bCs w:val="1"/>
                <w:i w:val="1"/>
                <w:iCs w:val="1"/>
                <w:color w:val="auto"/>
              </w:rPr>
              <w:t>RETAIL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5"/>
                <w:szCs w:val="15"/>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right w:val="single" w:sz="8" w:color="auto"/>
            </w:tcBorders>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48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rPr>
              <w:t>Footage Subject to</w:t>
            </w:r>
          </w:p>
        </w:tc>
        <w:tc>
          <w:tcPr>
            <w:tcW w:w="308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08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20,278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20,278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1,241,874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61.24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1,247,178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33,870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32,053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1,638,879</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51.13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1,650,191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48,212</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44,110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2,944,213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66.75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3,034,877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31,517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31,517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2,451,490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77.78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2,525,518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30,913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30,913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2,297,610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74.33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2,397,602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35,931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35,931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2,426,661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67.54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2,632,343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35,352</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35,352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2,523,023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71.37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2,793,996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17,703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17,703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1,078,165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60.90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1,252,836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147,314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147,314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4,429,338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4,807,076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32.63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109,689</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106,568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6,370,465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59.78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7,462,060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31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3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318,213</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318,213</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15,821,113</w:t>
            </w:r>
          </w:p>
        </w:tc>
        <w:tc>
          <w:tcPr>
            <w:tcW w:w="2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49.72</w:t>
            </w:r>
          </w:p>
        </w:tc>
        <w:tc>
          <w:tcPr>
            <w:tcW w:w="1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15,821,113</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49.72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310,249</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296,507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18,902,493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63.75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19,094,074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381,828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315,941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21,309,946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67.45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21,938,299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614,015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479,248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28,853,115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60.20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30,477,947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188,774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185,029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12,312,252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66.54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13,199,738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308,387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281,436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17,259,094</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61.33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19,010,090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67.55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192,948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170,358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10,631,826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62.41</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11,981,933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180,026</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168,608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10,025,535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59.46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11,481,474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836,567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815,756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55,652,562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68.22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64,137,645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1,126,882</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1,123,730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59,849,433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53.26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72,739,204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3"/>
          </w:tcPr>
          <w:p>
            <w:pPr>
              <w:jc w:val="right"/>
              <w:ind w:right="13"/>
              <w:spacing w:after="0"/>
              <w:rPr>
                <w:sz w:val="20"/>
                <w:szCs w:val="20"/>
                <w:color w:val="auto"/>
              </w:rPr>
            </w:pPr>
            <w:r>
              <w:rPr>
                <w:rFonts w:ascii="Arial" w:cs="Arial" w:eastAsia="Arial" w:hAnsi="Arial"/>
                <w:sz w:val="14"/>
                <w:szCs w:val="14"/>
                <w:color w:val="auto"/>
              </w:rPr>
              <w:t>3,610,084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3,227,150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194,156,096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60.16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244,703,014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2"/>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265" w:right="339" w:bottom="1440" w:gutter="0" w:footer="0" w:header="0"/>
          <w:type w:val="continuous"/>
        </w:sectPr>
      </w:pPr>
    </w:p>
    <w:bookmarkStart w:id="58" w:name="page59"/>
    <w:bookmarkEnd w:id="58"/>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Washington, DC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40"/>
              <w:spacing w:after="0" w:line="105"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5"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00" w:type="dxa"/>
            <w:vAlign w:val="bottom"/>
          </w:tcPr>
          <w:p>
            <w:pPr>
              <w:jc w:val="right"/>
              <w:spacing w:after="0"/>
              <w:rPr>
                <w:sz w:val="20"/>
                <w:szCs w:val="20"/>
                <w:color w:val="auto"/>
              </w:rPr>
            </w:pPr>
            <w:r>
              <w:rPr>
                <w:rFonts w:ascii="Arial" w:cs="Arial" w:eastAsia="Arial" w:hAnsi="Arial"/>
                <w:sz w:val="14"/>
                <w:szCs w:val="14"/>
                <w:color w:val="auto"/>
              </w:rPr>
              <w:t>26,857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26,857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1,095,176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40.78</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1,095,176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40.78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14,725,937</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14,725,937</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15,821,113</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15,821,113</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68,228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62,891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3,657,051</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58.15</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3,657,051</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81,113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77,655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4,507,647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58.05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4,518,342</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83,196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81,046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6,047,195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74.61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6,153,016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3,448,727</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3,518,486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289,971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276,229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17,660,619</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17,846,896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00"/>
              <w:spacing w:after="0" w:line="105"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5"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Expiring Leases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5,594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5,594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242,535</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43.36</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242,535</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12,690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12,690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779,148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61.40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779,148</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220,190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225,495</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1,241,874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1,247,178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2"/>
                <w:szCs w:val="12"/>
                <w:color w:val="auto"/>
              </w:rPr>
            </w:pPr>
          </w:p>
        </w:tc>
        <w:tc>
          <w:tcPr>
            <w:tcW w:w="31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Lease Expiration</w:t>
            </w:r>
          </w:p>
        </w:tc>
        <w:tc>
          <w:tcPr>
            <w:tcW w:w="1620" w:type="dxa"/>
            <w:vAlign w:val="bottom"/>
            <w:tcBorders>
              <w:right w:val="single" w:sz="8" w:color="auto"/>
            </w:tcBorders>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7"/>
                <w:szCs w:val="7"/>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660" w:type="dxa"/>
            <w:vAlign w:val="bottom"/>
            <w:gridSpan w:val="2"/>
            <w:vMerge w:val="continue"/>
          </w:tcPr>
          <w:p>
            <w:pPr>
              <w:spacing w:after="0"/>
              <w:rPr>
                <w:sz w:val="9"/>
                <w:szCs w:val="9"/>
                <w:color w:val="auto"/>
              </w:rPr>
            </w:pPr>
          </w:p>
        </w:tc>
        <w:tc>
          <w:tcPr>
            <w:tcW w:w="1620" w:type="dxa"/>
            <w:vAlign w:val="bottom"/>
            <w:tcBorders>
              <w:right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Footage Subject to</w:t>
            </w:r>
          </w:p>
        </w:tc>
        <w:tc>
          <w:tcPr>
            <w:tcW w:w="1540" w:type="dxa"/>
            <w:vAlign w:val="bottom"/>
            <w:gridSpan w:val="3"/>
          </w:tcPr>
          <w:p>
            <w:pPr>
              <w:jc w:val="center"/>
              <w:ind w:right="160"/>
              <w:spacing w:after="0" w:line="107" w:lineRule="exact"/>
              <w:rPr>
                <w:sz w:val="20"/>
                <w:szCs w:val="20"/>
                <w:color w:val="auto"/>
              </w:rPr>
            </w:pPr>
            <w:r>
              <w:rPr>
                <w:rFonts w:ascii="Arial" w:cs="Arial" w:eastAsia="Arial" w:hAnsi="Arial"/>
                <w:sz w:val="12"/>
                <w:szCs w:val="12"/>
                <w:b w:val="1"/>
                <w:bCs w:val="1"/>
                <w:color w:val="auto"/>
              </w:rPr>
              <w:t>Footage Subject to</w:t>
            </w:r>
          </w:p>
        </w:tc>
        <w:tc>
          <w:tcPr>
            <w:tcW w:w="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2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Quarter</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2024</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2024</w:t>
            </w:r>
          </w:p>
        </w:tc>
        <w:tc>
          <w:tcPr>
            <w:tcW w:w="1400" w:type="dxa"/>
            <w:vAlign w:val="bottom"/>
          </w:tcPr>
          <w:p>
            <w:pPr>
              <w:jc w:val="right"/>
              <w:spacing w:after="0"/>
              <w:rPr>
                <w:sz w:val="20"/>
                <w:szCs w:val="20"/>
                <w:color w:val="auto"/>
              </w:rPr>
            </w:pPr>
            <w:r>
              <w:rPr>
                <w:rFonts w:ascii="Arial" w:cs="Arial" w:eastAsia="Arial" w:hAnsi="Arial"/>
                <w:sz w:val="14"/>
                <w:szCs w:val="14"/>
                <w:color w:val="auto"/>
              </w:rPr>
              <w:t>26,857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26,857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1,095,176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40.78</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1,095,176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40.78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14,725,937</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14,725,937</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15,821,113</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15,821,113</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400" w:type="dxa"/>
            <w:vAlign w:val="bottom"/>
          </w:tcPr>
          <w:p>
            <w:pPr>
              <w:jc w:val="right"/>
              <w:spacing w:after="0"/>
              <w:rPr>
                <w:sz w:val="20"/>
                <w:szCs w:val="20"/>
                <w:color w:val="auto"/>
              </w:rPr>
            </w:pPr>
            <w:r>
              <w:rPr>
                <w:rFonts w:ascii="Arial" w:cs="Arial" w:eastAsia="Arial" w:hAnsi="Arial"/>
                <w:sz w:val="14"/>
                <w:szCs w:val="14"/>
                <w:color w:val="auto"/>
              </w:rPr>
              <w:t>73,822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68,485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3,899,586</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56.94</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3,899,586</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400" w:type="dxa"/>
            <w:vAlign w:val="bottom"/>
          </w:tcPr>
          <w:p>
            <w:pPr>
              <w:jc w:val="right"/>
              <w:spacing w:after="0"/>
              <w:rPr>
                <w:sz w:val="20"/>
                <w:szCs w:val="20"/>
                <w:color w:val="auto"/>
              </w:rPr>
            </w:pPr>
            <w:r>
              <w:rPr>
                <w:rFonts w:ascii="Arial" w:cs="Arial" w:eastAsia="Arial" w:hAnsi="Arial"/>
                <w:sz w:val="14"/>
                <w:szCs w:val="14"/>
                <w:color w:val="auto"/>
              </w:rPr>
              <w:t>93,803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90,345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5,286,795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58.52</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5,297,490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400" w:type="dxa"/>
            <w:vAlign w:val="bottom"/>
          </w:tcPr>
          <w:p>
            <w:pPr>
              <w:jc w:val="right"/>
              <w:spacing w:after="0"/>
              <w:rPr>
                <w:sz w:val="20"/>
                <w:szCs w:val="20"/>
                <w:color w:val="auto"/>
              </w:rPr>
            </w:pPr>
            <w:r>
              <w:rPr>
                <w:rFonts w:ascii="Arial" w:cs="Arial" w:eastAsia="Arial" w:hAnsi="Arial"/>
                <w:sz w:val="14"/>
                <w:szCs w:val="14"/>
                <w:color w:val="auto"/>
              </w:rPr>
              <w:t>83,196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81,046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color w:val="auto"/>
              </w:rPr>
              <w:t>6,047,195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74.61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6,153,016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59,428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3,668,917</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64.79</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3,743,981</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310,249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296,507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18,902,493</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19,094,074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3"/>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future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265" w:right="339" w:bottom="1440" w:gutter="0" w:footer="0" w:header="0"/>
          <w:type w:val="continuous"/>
        </w:sectPr>
      </w:pPr>
    </w:p>
    <w:bookmarkStart w:id="59" w:name="page60"/>
    <w:bookmarkEnd w:id="59"/>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CBD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Boston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Footage Subject to</w:t>
            </w:r>
          </w:p>
        </w:tc>
        <w:tc>
          <w:tcPr>
            <w:tcW w:w="310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24,733</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23,059</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1,361,790</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59.06</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1,361,790</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59.06</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214,986</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180,721</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14,517,799</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80.33</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14,631,279</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282,580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245,582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22,783,731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92.77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23,265,279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437,826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423,711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37,865,039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89.37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39,316,424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782,534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765,133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81,101,364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106.00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86,859,025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814,013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679,177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53,882,249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79.33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60,477,883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89.05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1,470,013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1,416,498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102,653,011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110,654,322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52,535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46,039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3,875,874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84.19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4,312,628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868,000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867,409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68,908,846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79.44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86,985,375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430,141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385,987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30,847,321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79.92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35,531,700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4,899,843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3,928,999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335,705,156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85.44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405,494,490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360" w:type="dxa"/>
            <w:vAlign w:val="bottom"/>
          </w:tcPr>
          <w:p>
            <w:pPr>
              <w:spacing w:after="0"/>
              <w:rPr>
                <w:sz w:val="20"/>
                <w:szCs w:val="20"/>
                <w:color w:val="auto"/>
              </w:rPr>
            </w:pPr>
            <w:r>
              <w:rPr>
                <w:rFonts w:ascii="Arial" w:cs="Arial" w:eastAsia="Arial" w:hAnsi="Arial"/>
                <w:sz w:val="14"/>
                <w:szCs w:val="14"/>
                <w:b w:val="1"/>
                <w:bCs w:val="1"/>
                <w:i w:val="1"/>
                <w:iCs w:val="1"/>
                <w:color w:val="auto"/>
              </w:rPr>
              <w:t>Los Angeles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Footage Subject to</w:t>
            </w:r>
          </w:p>
        </w:tc>
        <w:tc>
          <w:tcPr>
            <w:tcW w:w="310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210,069</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210,069</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14,257,144</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67.87</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14,257,144</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67.87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37,055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37,055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2,983,621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80.52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3,080,969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23,761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14,167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456,573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32.23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477,708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33.72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29,618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29,618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1,893,725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63.94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2,061,519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248,627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149,945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12,270,503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81.83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13,811,760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453,889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278,933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18,916,630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67.82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21,630,151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25,260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25,260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1,953,768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77.35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2,353,059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7,311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7,311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616,311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637,279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237,933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118,967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10,048,733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12,581,803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186,894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93,447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6,267,128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67.07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10,968,762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117.38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520,461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510,465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38,123,070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74.68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46,599,140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360" w:type="dxa"/>
            <w:vAlign w:val="bottom"/>
          </w:tcPr>
          <w:p>
            <w:pPr>
              <w:spacing w:after="0"/>
              <w:rPr>
                <w:sz w:val="20"/>
                <w:szCs w:val="20"/>
                <w:color w:val="auto"/>
              </w:rPr>
            </w:pPr>
            <w:r>
              <w:rPr>
                <w:rFonts w:ascii="Arial" w:cs="Arial" w:eastAsia="Arial" w:hAnsi="Arial"/>
                <w:sz w:val="14"/>
                <w:szCs w:val="14"/>
                <w:b w:val="1"/>
                <w:bCs w:val="1"/>
                <w:i w:val="1"/>
                <w:iCs w:val="1"/>
                <w:color w:val="auto"/>
              </w:rPr>
              <w:t>New York</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Footage Subject to</w:t>
            </w:r>
          </w:p>
        </w:tc>
        <w:tc>
          <w:tcPr>
            <w:tcW w:w="310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54,523</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50,672</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5,265,097</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103.91</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5,268,459</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103.97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804,468</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498,688</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53,015,754</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106.31</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53,107,603</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417,851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276,547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36,998,255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133.79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38,635,158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139.71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161,145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121,246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12,636,652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104.22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12,788,831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575,313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379,113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38,847,286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102.47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39,913,947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737,810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650,405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67,993,072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104.54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72,533,098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709,625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657,860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64,002,052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97.29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68,973,014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104.84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228,306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171,871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21,796,458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126.82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23,549,721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137.02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214,973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123,642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11,173,164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90.37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11,671,755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347,549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311,287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37,996,329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122.06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41,517,109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133.37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3"/>
              <w:spacing w:after="0"/>
              <w:rPr>
                <w:sz w:val="20"/>
                <w:szCs w:val="20"/>
                <w:color w:val="auto"/>
              </w:rPr>
            </w:pPr>
            <w:r>
              <w:rPr>
                <w:rFonts w:ascii="Arial" w:cs="Arial" w:eastAsia="Arial" w:hAnsi="Arial"/>
                <w:sz w:val="14"/>
                <w:szCs w:val="14"/>
                <w:color w:val="auto"/>
              </w:rPr>
              <w:t>4,882,134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3,311,809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361,834,796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109.26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412,434,601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124.53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265" w:right="339" w:bottom="1440" w:gutter="0" w:footer="0" w:header="0"/>
        </w:sectPr>
      </w:pPr>
    </w:p>
    <w:bookmarkStart w:id="60" w:name="page61"/>
    <w:bookmarkEnd w:id="60"/>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CBD properties (continued)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right w:val="single" w:sz="8" w:color="auto"/>
            </w:tcBorders>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7"/>
                <w:szCs w:val="17"/>
                <w:color w:val="auto"/>
              </w:rPr>
            </w:pPr>
          </w:p>
        </w:tc>
        <w:tc>
          <w:tcPr>
            <w:tcW w:w="3260" w:type="dxa"/>
            <w:vAlign w:val="bottom"/>
            <w:gridSpan w:val="7"/>
          </w:tcPr>
          <w:p>
            <w:pPr>
              <w:ind w:left="8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100" w:type="dxa"/>
            <w:vAlign w:val="bottom"/>
            <w:tcBorders>
              <w:right w:val="single" w:sz="8" w:color="auto"/>
            </w:tcBorders>
            <w:gridSpan w:val="5"/>
          </w:tcPr>
          <w:p>
            <w:pPr>
              <w:jc w:val="right"/>
              <w:ind w:right="31"/>
              <w:spacing w:after="0"/>
              <w:rPr>
                <w:sz w:val="20"/>
                <w:szCs w:val="20"/>
                <w:color w:val="auto"/>
              </w:rPr>
            </w:pPr>
            <w:r>
              <w:rPr>
                <w:rFonts w:ascii="Arial" w:cs="Arial" w:eastAsia="Arial" w:hAnsi="Arial"/>
                <w:sz w:val="13"/>
                <w:szCs w:val="13"/>
                <w:b w:val="1"/>
                <w:bCs w:val="1"/>
                <w:color w:val="auto"/>
              </w:rPr>
              <w:t>Annualized Rental Obligations Under Expiring</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tcBorders>
              <w:right w:val="single" w:sz="8" w:color="auto"/>
            </w:tcBorders>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060" w:type="dxa"/>
            <w:vAlign w:val="bottom"/>
            <w:gridSpan w:val="5"/>
            <w:vMerge w:val="restart"/>
          </w:tcPr>
          <w:p>
            <w:pPr>
              <w:jc w:val="right"/>
              <w:ind w:right="951"/>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tcBorders>
              <w:right w:val="single" w:sz="8" w:color="auto"/>
            </w:tcBorders>
            <w:gridSpan w:val="5"/>
            <w:vMerge w:val="restart"/>
          </w:tcPr>
          <w:p>
            <w:pPr>
              <w:jc w:val="right"/>
              <w:ind w:right="611"/>
              <w:spacing w:after="0"/>
              <w:rPr>
                <w:sz w:val="20"/>
                <w:szCs w:val="20"/>
                <w:color w:val="auto"/>
              </w:rPr>
            </w:pPr>
            <w:r>
              <w:rPr>
                <w:rFonts w:ascii="Arial" w:cs="Arial" w:eastAsia="Arial" w:hAnsi="Arial"/>
                <w:sz w:val="13"/>
                <w:szCs w:val="13"/>
                <w:b w:val="1"/>
                <w:bCs w:val="1"/>
                <w:color w:val="auto"/>
              </w:rPr>
              <w:t>Leases with future step-ups</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right w:val="single" w:sz="8" w:color="auto"/>
            </w:tcBorders>
            <w:gridSpan w:val="3"/>
          </w:tcPr>
          <w:p>
            <w:pPr>
              <w:jc w:val="center"/>
              <w:ind w:right="26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2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5"/>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100" w:type="dxa"/>
            <w:vAlign w:val="bottom"/>
            <w:tcBorders>
              <w:bottom w:val="single" w:sz="8" w:color="auto"/>
              <w:right w:val="single" w:sz="8" w:color="auto"/>
            </w:tcBorders>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40" w:type="dxa"/>
            <w:vAlign w:val="bottom"/>
            <w:tcBorders>
              <w:right w:val="single" w:sz="8" w:color="auto"/>
            </w:tcBorders>
            <w:gridSpan w:val="2"/>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4"/>
                <w:szCs w:val="14"/>
                <w:color w:val="auto"/>
              </w:rPr>
            </w:pPr>
          </w:p>
        </w:tc>
        <w:tc>
          <w:tcPr>
            <w:tcW w:w="160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4"/>
                <w:szCs w:val="14"/>
                <w:color w:val="auto"/>
              </w:rPr>
            </w:pPr>
          </w:p>
        </w:tc>
        <w:tc>
          <w:tcPr>
            <w:tcW w:w="162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$/PSF</w:t>
            </w:r>
          </w:p>
        </w:tc>
        <w:tc>
          <w:tcPr>
            <w:tcW w:w="60" w:type="dxa"/>
            <w:vAlign w:val="bottom"/>
            <w:gridSpan w:val="2"/>
            <w:vMerge w:val="restart"/>
          </w:tcPr>
          <w:p>
            <w:pPr>
              <w:jc w:val="right"/>
              <w:spacing w:after="0"/>
              <w:rPr>
                <w:sz w:val="20"/>
                <w:szCs w:val="20"/>
                <w:color w:val="auto"/>
              </w:rPr>
            </w:pPr>
            <w:r>
              <w:rPr>
                <w:rFonts w:ascii="Arial" w:cs="Arial" w:eastAsia="Arial" w:hAnsi="Arial"/>
                <w:sz w:val="5"/>
                <w:szCs w:val="5"/>
                <w:color w:val="auto"/>
                <w:w w:val="70"/>
              </w:rPr>
              <w:t>4</w:t>
            </w:r>
          </w:p>
        </w:tc>
        <w:tc>
          <w:tcPr>
            <w:tcW w:w="0" w:type="dxa"/>
            <w:vAlign w:val="bottom"/>
          </w:tcPr>
          <w:p>
            <w:pPr>
              <w:spacing w:after="0"/>
              <w:rPr>
                <w:sz w:val="1"/>
                <w:szCs w:val="1"/>
                <w:color w:val="auto"/>
              </w:rPr>
            </w:pPr>
          </w:p>
        </w:tc>
      </w:tr>
      <w:tr>
        <w:trPr>
          <w:trHeight w:val="189"/>
        </w:trPr>
        <w:tc>
          <w:tcPr>
            <w:tcW w:w="1340" w:type="dxa"/>
            <w:vAlign w:val="bottom"/>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161,624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161,624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14,927,124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92.36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14,988,747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92.74</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227,890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227,890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20,458,950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89.78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20,675,979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90.73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430,863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430,863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41,821,705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97.06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42,446,293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98.51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450,545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450,545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45,824,432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101.71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48,435,829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107.50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545,883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545,883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53,507,646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98.02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57,583,497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105.49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314,900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314,900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33,296,229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105.74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37,225,243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118.21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312,144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312,144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28,210,974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90.38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33,080,542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105.98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913,399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913,399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99,536,938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108.97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109,095,817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119.44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288,102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288,102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23,522,766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81.65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28,756,468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99.81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671,114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671,114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69,408,926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103.42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79,857,720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118.99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306,210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306,210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26,981,817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88.12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36,879,285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120.44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4"/>
        </w:trPr>
        <w:tc>
          <w:tcPr>
            <w:tcW w:w="1340" w:type="dxa"/>
            <w:vAlign w:val="bottom"/>
          </w:tcPr>
          <w:p>
            <w:pPr>
              <w:spacing w:after="0"/>
              <w:rPr>
                <w:sz w:val="20"/>
                <w:szCs w:val="20"/>
                <w:color w:val="auto"/>
              </w:rPr>
            </w:pPr>
            <w:r>
              <w:rPr>
                <w:rFonts w:ascii="Arial" w:cs="Arial" w:eastAsia="Arial" w:hAnsi="Arial"/>
                <w:sz w:val="14"/>
                <w:szCs w:val="14"/>
                <w:b w:val="1"/>
                <w:bCs w:val="1"/>
                <w:i w:val="1"/>
                <w:iCs w:val="1"/>
                <w:color w:val="auto"/>
              </w:rPr>
              <w:t>Seattle, WA</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7"/>
                <w:szCs w:val="17"/>
                <w:color w:val="auto"/>
              </w:rPr>
            </w:pPr>
          </w:p>
        </w:tc>
        <w:tc>
          <w:tcPr>
            <w:tcW w:w="326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1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tcBorders>
              <w:right w:val="single" w:sz="8" w:color="auto"/>
            </w:tcBorders>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2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Borders>
              <w:right w:val="single" w:sz="8" w:color="auto"/>
            </w:tcBorders>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3"/>
          </w:tcPr>
          <w:p>
            <w:pPr>
              <w:jc w:val="center"/>
              <w:ind w:right="160"/>
              <w:spacing w:after="0" w:line="115" w:lineRule="exact"/>
              <w:rPr>
                <w:sz w:val="20"/>
                <w:szCs w:val="20"/>
                <w:color w:val="auto"/>
              </w:rPr>
            </w:pPr>
            <w:r>
              <w:rPr>
                <w:rFonts w:ascii="Arial" w:cs="Arial" w:eastAsia="Arial" w:hAnsi="Arial"/>
                <w:sz w:val="13"/>
                <w:szCs w:val="13"/>
                <w:b w:val="1"/>
                <w:bCs w:val="1"/>
                <w:color w:val="auto"/>
              </w:rPr>
              <w:t>Footage Subject to</w:t>
            </w:r>
          </w:p>
        </w:tc>
        <w:tc>
          <w:tcPr>
            <w:tcW w:w="20" w:type="dxa"/>
            <w:vAlign w:val="bottom"/>
          </w:tcPr>
          <w:p>
            <w:pPr>
              <w:spacing w:after="0"/>
              <w:rPr>
                <w:sz w:val="10"/>
                <w:szCs w:val="10"/>
                <w:color w:val="auto"/>
              </w:rPr>
            </w:pPr>
          </w:p>
        </w:tc>
        <w:tc>
          <w:tcPr>
            <w:tcW w:w="3100" w:type="dxa"/>
            <w:vAlign w:val="bottom"/>
            <w:tcBorders>
              <w:bottom w:val="single" w:sz="8" w:color="auto"/>
            </w:tcBorders>
            <w:gridSpan w:val="6"/>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100" w:type="dxa"/>
            <w:vAlign w:val="bottom"/>
            <w:tcBorders>
              <w:bottom w:val="single" w:sz="8" w:color="auto"/>
              <w:right w:val="single" w:sz="8" w:color="auto"/>
            </w:tcBorders>
            <w:gridSpan w:val="5"/>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$/PSF</w:t>
            </w: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Pr>
          <w:p>
            <w:pPr>
              <w:jc w:val="center"/>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134,144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80,467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4,865,769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60.47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5,233,791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65.04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70,296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66,983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4,096,012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61.15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4,256,990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63.55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77,785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74,224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4,398,274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59.26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4,635,712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62.46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593,615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294,678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16,597,359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56.32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17,745,703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60.22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188,501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167,699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9,236,532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55.08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9,495,850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56.62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33,054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2,018,716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61.07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2,257,566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68.30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7,790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4,645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286,552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61.70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329,424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70.93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64,737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51,388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3,864,087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75.19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4,559,063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88.72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40,529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962,285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70.52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1,208,814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88.58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340" w:type="dxa"/>
            <w:vAlign w:val="bottom"/>
          </w:tcPr>
          <w:p>
            <w:pPr>
              <w:spacing w:after="0"/>
              <w:rPr>
                <w:sz w:val="20"/>
                <w:szCs w:val="20"/>
                <w:color w:val="auto"/>
              </w:rPr>
            </w:pPr>
            <w:r>
              <w:rPr>
                <w:rFonts w:ascii="Arial" w:cs="Arial" w:eastAsia="Arial" w:hAnsi="Arial"/>
                <w:sz w:val="14"/>
                <w:szCs w:val="14"/>
                <w:b w:val="1"/>
                <w:bCs w:val="1"/>
                <w:i w:val="1"/>
                <w:iCs w:val="1"/>
                <w:color w:val="auto"/>
              </w:rPr>
              <w:t>Washington, DC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7"/>
                <w:szCs w:val="17"/>
                <w:color w:val="auto"/>
              </w:rPr>
            </w:pPr>
          </w:p>
        </w:tc>
        <w:tc>
          <w:tcPr>
            <w:tcW w:w="326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1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tcBorders>
              <w:right w:val="single" w:sz="8" w:color="auto"/>
            </w:tcBorders>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2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Borders>
              <w:right w:val="single" w:sz="8" w:color="auto"/>
            </w:tcBorders>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60" w:type="dxa"/>
            <w:vAlign w:val="bottom"/>
            <w:gridSpan w:val="3"/>
          </w:tcPr>
          <w:p>
            <w:pPr>
              <w:jc w:val="center"/>
              <w:ind w:right="160"/>
              <w:spacing w:after="0" w:line="115" w:lineRule="exact"/>
              <w:rPr>
                <w:sz w:val="20"/>
                <w:szCs w:val="20"/>
                <w:color w:val="auto"/>
              </w:rPr>
            </w:pPr>
            <w:r>
              <w:rPr>
                <w:rFonts w:ascii="Arial" w:cs="Arial" w:eastAsia="Arial" w:hAnsi="Arial"/>
                <w:sz w:val="13"/>
                <w:szCs w:val="13"/>
                <w:b w:val="1"/>
                <w:bCs w:val="1"/>
                <w:color w:val="auto"/>
              </w:rPr>
              <w:t>Footage Subject to</w:t>
            </w:r>
          </w:p>
        </w:tc>
        <w:tc>
          <w:tcPr>
            <w:tcW w:w="20" w:type="dxa"/>
            <w:vAlign w:val="bottom"/>
          </w:tcPr>
          <w:p>
            <w:pPr>
              <w:spacing w:after="0"/>
              <w:rPr>
                <w:sz w:val="10"/>
                <w:szCs w:val="10"/>
                <w:color w:val="auto"/>
              </w:rPr>
            </w:pPr>
          </w:p>
        </w:tc>
        <w:tc>
          <w:tcPr>
            <w:tcW w:w="3100" w:type="dxa"/>
            <w:vAlign w:val="bottom"/>
            <w:tcBorders>
              <w:bottom w:val="single" w:sz="8" w:color="auto"/>
            </w:tcBorders>
            <w:gridSpan w:val="6"/>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100" w:type="dxa"/>
            <w:vAlign w:val="bottom"/>
            <w:tcBorders>
              <w:bottom w:val="single" w:sz="8" w:color="auto"/>
              <w:right w:val="single" w:sz="8" w:color="auto"/>
            </w:tcBorders>
            <w:gridSpan w:val="5"/>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$/PSF</w:t>
            </w: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4</w:t>
            </w:r>
          </w:p>
        </w:tc>
        <w:tc>
          <w:tcPr>
            <w:tcW w:w="0" w:type="dxa"/>
            <w:vAlign w:val="bottom"/>
          </w:tcPr>
          <w:p>
            <w:pPr>
              <w:spacing w:after="0"/>
              <w:rPr>
                <w:sz w:val="1"/>
                <w:szCs w:val="1"/>
                <w:color w:val="auto"/>
              </w:rPr>
            </w:pPr>
          </w:p>
        </w:tc>
      </w:tr>
      <w:tr>
        <w:trPr>
          <w:trHeight w:val="189"/>
        </w:trPr>
        <w:tc>
          <w:tcPr>
            <w:tcW w:w="1340" w:type="dxa"/>
            <w:vAlign w:val="bottom"/>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291,736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291,736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14,739,133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50.52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14,739,133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50.52</w:t>
            </w:r>
          </w:p>
        </w:tc>
        <w:tc>
          <w:tcPr>
            <w:tcW w:w="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261,411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247,669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16,827,921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67.95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16,997,518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68.63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363,863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297,976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20,568,647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69.03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21,174,880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71.06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598,439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463,671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28,030,191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60.45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29,645,505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63.94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186,199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182,454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12,105,493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66.35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12,974,832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71.11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305,734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278,783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17,155,983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61.54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18,893,766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67.77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187,750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165,160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10,430,188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63.15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11,746,708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71.12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177,756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166,338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9,899,291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59.51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11,345,243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68.21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836,567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815,756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55,652,562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68.22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64,137,645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78.62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1,055,138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1,051,986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58,063,196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55.19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70,934,526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67.43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3,601,622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3,218,688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193,828,646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60.22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244,295,699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75.90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Includes partially placed in-service leased space. Does not include residential units and hotel.</w:t>
      </w:r>
    </w:p>
    <w:p>
      <w:pPr>
        <w:spacing w:after="0" w:line="41" w:lineRule="exact"/>
        <w:rPr>
          <w:sz w:val="20"/>
          <w:szCs w:val="20"/>
          <w:color w:val="auto"/>
        </w:rPr>
      </w:pPr>
    </w:p>
    <w:p>
      <w:pPr>
        <w:ind w:left="80" w:right="200" w:hanging="72"/>
        <w:spacing w:after="0" w:line="238" w:lineRule="auto"/>
        <w:tabs>
          <w:tab w:leader="none" w:pos="78"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 dates. In those cases, the data is included in the year in which the future lease expires.</w:t>
      </w:r>
    </w:p>
    <w:p>
      <w:pPr>
        <w:ind w:left="80" w:hanging="72"/>
        <w:spacing w:after="0" w:line="208" w:lineRule="auto"/>
        <w:tabs>
          <w:tab w:leader="none" w:pos="8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Includes square feet expiring on the last day of the current quarter.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265" w:right="339" w:bottom="1440" w:gutter="0" w:footer="0" w:header="0"/>
          <w:type w:val="continuous"/>
        </w:sectPr>
      </w:pPr>
    </w:p>
    <w:bookmarkStart w:id="61" w:name="page62"/>
    <w:bookmarkEnd w:id="6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Suburban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Boston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Footage Subject to</w:t>
            </w:r>
          </w:p>
        </w:tc>
        <w:tc>
          <w:tcPr>
            <w:tcW w:w="310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37,359</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37,359</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1,655,577</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44.32</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1,655,577</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44.32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665,969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665,969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36,331,076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54.55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36,150,637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215,165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215,165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13,586,611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63.15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14,005,461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279,976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279,976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16,033,233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57.27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16,285,041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243,313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243,313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13,496,232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55.47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14,381,713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514,384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514,384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26,008,401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50.56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29,219,123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129,718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129,718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7,333,598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56.53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7,999,494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571,925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511,585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33,756,142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65.98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36,828,875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205,851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205,851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18,664,288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90.67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21,720,954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231,547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231,547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14,142,807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61.08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16,397,923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504,889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504,889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32,493,217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64.36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39,067,109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0"/>
        </w:trPr>
        <w:tc>
          <w:tcPr>
            <w:tcW w:w="1360" w:type="dxa"/>
            <w:vAlign w:val="bottom"/>
          </w:tcPr>
          <w:p>
            <w:pPr>
              <w:spacing w:after="0"/>
              <w:rPr>
                <w:sz w:val="20"/>
                <w:szCs w:val="20"/>
                <w:color w:val="auto"/>
              </w:rPr>
            </w:pPr>
            <w:r>
              <w:rPr>
                <w:rFonts w:ascii="Arial" w:cs="Arial" w:eastAsia="Arial" w:hAnsi="Arial"/>
                <w:sz w:val="14"/>
                <w:szCs w:val="14"/>
                <w:b w:val="1"/>
                <w:bCs w:val="1"/>
                <w:i w:val="1"/>
                <w:iCs w:val="1"/>
                <w:color w:val="auto"/>
              </w:rPr>
              <w:t>New York</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Footage Subject to</w:t>
            </w:r>
          </w:p>
        </w:tc>
        <w:tc>
          <w:tcPr>
            <w:tcW w:w="310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50,040</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50,040</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1,965,437</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39.28</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1,965,437</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39.28</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121,064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121,064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4,660,444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38.50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4,683,547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308,457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308,457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12,669,155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41.07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12,930,747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209,330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209,330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7,967,341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38.06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8,184,618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58,124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58,124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2,194,966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37.76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2,309,325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196,990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196,990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7,053,572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35.81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7,468,574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37.91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51,674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51,674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2,004,172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38.78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2,132,313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149,559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149,559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6,167,694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41.24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6,453,871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78,770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78,770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3,093,491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39.27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3,246,020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19,431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19,431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735,149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37.83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822,589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215,941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215,941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8,741,340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40.48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9,683,134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1360" w:type="dxa"/>
            <w:vAlign w:val="bottom"/>
          </w:tcPr>
          <w:p>
            <w:pPr>
              <w:spacing w:after="0"/>
              <w:rPr>
                <w:sz w:val="20"/>
                <w:szCs w:val="20"/>
                <w:color w:val="auto"/>
              </w:rPr>
            </w:pPr>
            <w:r>
              <w:rPr>
                <w:rFonts w:ascii="Arial" w:cs="Arial" w:eastAsia="Arial" w:hAnsi="Arial"/>
                <w:sz w:val="14"/>
                <w:szCs w:val="14"/>
                <w:b w:val="1"/>
                <w:bCs w:val="1"/>
                <w:i w:val="1"/>
                <w:iCs w:val="1"/>
                <w:color w:val="auto"/>
              </w:rPr>
              <w:t>San Francisco</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18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vMerge w:val="restart"/>
          </w:tcPr>
          <w:p>
            <w:pPr>
              <w:spacing w:after="0"/>
              <w:rPr>
                <w:sz w:val="5"/>
                <w:szCs w:val="5"/>
                <w:color w:val="auto"/>
              </w:rPr>
            </w:pPr>
          </w:p>
        </w:tc>
        <w:tc>
          <w:tcPr>
            <w:tcW w:w="3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Footage Subject to</w:t>
            </w:r>
          </w:p>
        </w:tc>
        <w:tc>
          <w:tcPr>
            <w:tcW w:w="3100" w:type="dxa"/>
            <w:vAlign w:val="bottom"/>
            <w:tcBorders>
              <w:bottom w:val="single" w:sz="8" w:color="auto"/>
            </w:tcBorders>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36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23,415</w:t>
            </w:r>
          </w:p>
        </w:tc>
        <w:tc>
          <w:tcPr>
            <w:tcW w:w="2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11,708</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703,576</w:t>
            </w:r>
          </w:p>
        </w:tc>
        <w:tc>
          <w:tcPr>
            <w:tcW w:w="18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60.10</w:t>
            </w: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704,807</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60.20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360,571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323,461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23,187,480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71.69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23,485,892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186,385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95,293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9,980,808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104.74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10,173,255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104,269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93,305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7,159,407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76.73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7,703,179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124,455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94,420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4,562,703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48.32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4,956,674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160,271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100,068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5,277,533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52.74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5,958,695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115,045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103,432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6,457,898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62.44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7,043,220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60,122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30,061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1,622,681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53.98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1,936,031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61,035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30,518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1,983,133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64.98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2,228,729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color w:val="auto"/>
              </w:rPr>
              <w:t>230,592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112,990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10,565,215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93.51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12,591,146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265" w:right="339" w:bottom="1440" w:gutter="0" w:footer="0" w:header="0"/>
        </w:sectPr>
      </w:pPr>
    </w:p>
    <w:bookmarkStart w:id="62" w:name="page63"/>
    <w:bookmarkEnd w:id="6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Suburban properties (continued)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Washington, DC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280" w:type="dxa"/>
            <w:vAlign w:val="bottom"/>
            <w:gridSpan w:val="4"/>
          </w:tcPr>
          <w:p>
            <w:pPr>
              <w:ind w:left="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8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Annualized Rental Obligations Under Expiring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Year of Lease</w:t>
            </w:r>
          </w:p>
        </w:tc>
        <w:tc>
          <w:tcPr>
            <w:tcW w:w="20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3080" w:type="dxa"/>
            <w:vAlign w:val="bottom"/>
            <w:gridSpan w:val="3"/>
            <w:vMerge w:val="restart"/>
          </w:tcPr>
          <w:p>
            <w:pPr>
              <w:jc w:val="right"/>
              <w:ind w:right="949"/>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vMerge w:val="restart"/>
          </w:tcPr>
          <w:p>
            <w:pPr>
              <w:spacing w:after="0"/>
              <w:rPr>
                <w:sz w:val="5"/>
                <w:szCs w:val="5"/>
                <w:color w:val="auto"/>
              </w:rPr>
            </w:pPr>
          </w:p>
        </w:tc>
        <w:tc>
          <w:tcPr>
            <w:tcW w:w="3080" w:type="dxa"/>
            <w:vAlign w:val="bottom"/>
            <w:tcBorders>
              <w:right w:val="single" w:sz="8" w:color="auto"/>
            </w:tcBorders>
            <w:gridSpan w:val="3"/>
            <w:vMerge w:val="restart"/>
          </w:tcPr>
          <w:p>
            <w:pPr>
              <w:jc w:val="right"/>
              <w:ind w:right="588"/>
              <w:spacing w:after="0"/>
              <w:rPr>
                <w:sz w:val="20"/>
                <w:szCs w:val="20"/>
                <w:color w:val="auto"/>
              </w:rPr>
            </w:pPr>
            <w:r>
              <w:rPr>
                <w:rFonts w:ascii="Arial" w:cs="Arial" w:eastAsia="Arial" w:hAnsi="Arial"/>
                <w:sz w:val="13"/>
                <w:szCs w:val="13"/>
                <w:b w:val="1"/>
                <w:bCs w:val="1"/>
                <w:color w:val="auto"/>
              </w:rPr>
              <w:t>Leases with future step-ups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right w:val="single" w:sz="8" w:color="auto"/>
            </w:tcBorders>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14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Footage Subject to</w:t>
            </w:r>
          </w:p>
        </w:tc>
        <w:tc>
          <w:tcPr>
            <w:tcW w:w="3080" w:type="dxa"/>
            <w:vAlign w:val="bottom"/>
            <w:tcBorders>
              <w:bottom w:val="single" w:sz="8" w:color="auto"/>
            </w:tcBorders>
            <w:gridSpan w:val="3"/>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080" w:type="dxa"/>
            <w:vAlign w:val="bottom"/>
            <w:tcBorders>
              <w:bottom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2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2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4</w:t>
            </w:r>
          </w:p>
        </w:tc>
        <w:tc>
          <w:tcPr>
            <w:tcW w:w="0" w:type="dxa"/>
            <w:vAlign w:val="bottom"/>
          </w:tcPr>
          <w:p>
            <w:pPr>
              <w:spacing w:after="0"/>
              <w:rPr>
                <w:sz w:val="1"/>
                <w:szCs w:val="1"/>
                <w:color w:val="auto"/>
              </w:rPr>
            </w:pPr>
          </w:p>
        </w:tc>
      </w:tr>
      <w:tr>
        <w:trPr>
          <w:trHeight w:val="189"/>
        </w:trPr>
        <w:tc>
          <w:tcPr>
            <w:tcW w:w="1340" w:type="dxa"/>
            <w:vAlign w:val="bottom"/>
          </w:tcPr>
          <w:p>
            <w:pPr>
              <w:jc w:val="center"/>
              <w:spacing w:after="0"/>
              <w:rPr>
                <w:sz w:val="20"/>
                <w:szCs w:val="20"/>
                <w:color w:val="auto"/>
              </w:rPr>
            </w:pPr>
            <w:r>
              <w:rPr>
                <w:rFonts w:ascii="Arial" w:cs="Arial" w:eastAsia="Arial" w:hAnsi="Arial"/>
                <w:sz w:val="14"/>
                <w:szCs w:val="14"/>
                <w:color w:val="auto"/>
              </w:rPr>
              <w:t>2024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26,477</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26,477</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1,081,980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40.86</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1,081,980</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40.86</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48,838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48,838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2,074,572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42.48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2,096,557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17,965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17,965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741,299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41.26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763,419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15,576</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15,576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822,924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52.83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832,443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2,575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2,575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206,759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80.29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224,905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2,653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2,653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103,110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38.87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116,324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5,198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5,198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201,638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235,226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2,270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2,270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126,244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55.61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136,232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71,744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71,744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1,786,238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24.90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1,804,678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Thereafter</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8,462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8,462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327,449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407,315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48.13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57.</w:t>
      </w:r>
    </w:p>
    <w:p>
      <w:pPr>
        <w:spacing w:after="0" w:line="3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ind w:left="80" w:right="20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Does not include data for leases expiring in a particular year when leases for the same space have already been signed with replacement clients with future commencement dates. In those cases, the data is included in the year in which the future lease expires.</w:t>
      </w:r>
    </w:p>
    <w:p>
      <w:pPr>
        <w:spacing w:after="0" w:line="1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Includes square feet expiring on the last day of the current quarter.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265" w:right="339" w:bottom="1440" w:gutter="0" w:footer="0" w:header="0"/>
        </w:sectPr>
      </w:pPr>
    </w:p>
    <w:bookmarkStart w:id="63" w:name="page64"/>
    <w:bookmarkEnd w:id="63"/>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With the exception of Green Street Advisors, an independent research firm, the equity analysts listed below are those analysts that, according to Thomson Reuters Corporation, have published research material on the Company and are listed as covering the Company. Please note that any opinions, estimates or forecasts regarding the Company’s performance made by the analysts listed below do not represent the opinions, estimates or forecasts of the Company or its management. The Company does not by its reference below imply its endorsement of or concurrence with any information, conclusions or recommendations made by any of such analysts.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Equity Research Coverage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Borders>
              <w:top w:val="single" w:sz="8" w:color="828282"/>
            </w:tcBorders>
          </w:tcPr>
          <w:p>
            <w:pPr>
              <w:ind w:left="20"/>
              <w:spacing w:after="0"/>
              <w:rPr>
                <w:sz w:val="20"/>
                <w:szCs w:val="20"/>
                <w:color w:val="auto"/>
              </w:rPr>
            </w:pPr>
            <w:r>
              <w:rPr>
                <w:rFonts w:ascii="Arial" w:cs="Arial" w:eastAsia="Arial" w:hAnsi="Arial"/>
                <w:sz w:val="14"/>
                <w:szCs w:val="14"/>
                <w:color w:val="auto"/>
              </w:rPr>
              <w:t>Bank of America Merrill Lynch</w:t>
            </w:r>
          </w:p>
        </w:tc>
        <w:tc>
          <w:tcPr>
            <w:tcW w:w="3480" w:type="dxa"/>
            <w:vAlign w:val="bottom"/>
            <w:tcBorders>
              <w:top w:val="single" w:sz="8" w:color="828282"/>
            </w:tcBorders>
          </w:tcPr>
          <w:p>
            <w:pPr>
              <w:ind w:left="280"/>
              <w:spacing w:after="0"/>
              <w:rPr>
                <w:sz w:val="20"/>
                <w:szCs w:val="20"/>
                <w:color w:val="auto"/>
              </w:rPr>
            </w:pPr>
            <w:r>
              <w:rPr>
                <w:rFonts w:ascii="Arial" w:cs="Arial" w:eastAsia="Arial" w:hAnsi="Arial"/>
                <w:sz w:val="14"/>
                <w:szCs w:val="14"/>
                <w:color w:val="auto"/>
              </w:rPr>
              <w:t>Jeffrey Spector</w:t>
            </w:r>
          </w:p>
        </w:tc>
        <w:tc>
          <w:tcPr>
            <w:tcW w:w="3920" w:type="dxa"/>
            <w:vAlign w:val="bottom"/>
            <w:tcBorders>
              <w:top w:val="single" w:sz="8" w:color="828282"/>
            </w:tcBorders>
          </w:tcPr>
          <w:p>
            <w:pPr>
              <w:ind w:left="1100"/>
              <w:spacing w:after="0"/>
              <w:rPr>
                <w:sz w:val="20"/>
                <w:szCs w:val="20"/>
                <w:color w:val="auto"/>
              </w:rPr>
            </w:pPr>
            <w:r>
              <w:rPr>
                <w:rFonts w:ascii="Arial" w:cs="Arial" w:eastAsia="Arial" w:hAnsi="Arial"/>
                <w:sz w:val="14"/>
                <w:szCs w:val="14"/>
                <w:color w:val="auto"/>
              </w:rPr>
              <w:t>646.855.1363</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Barclays</w:t>
            </w:r>
          </w:p>
        </w:tc>
        <w:tc>
          <w:tcPr>
            <w:tcW w:w="3480" w:type="dxa"/>
            <w:vAlign w:val="bottom"/>
          </w:tcPr>
          <w:p>
            <w:pPr>
              <w:ind w:left="280"/>
              <w:spacing w:after="0"/>
              <w:rPr>
                <w:sz w:val="20"/>
                <w:szCs w:val="20"/>
                <w:color w:val="auto"/>
              </w:rPr>
            </w:pPr>
            <w:r>
              <w:rPr>
                <w:rFonts w:ascii="Arial" w:cs="Arial" w:eastAsia="Arial" w:hAnsi="Arial"/>
                <w:sz w:val="14"/>
                <w:szCs w:val="14"/>
                <w:color w:val="auto"/>
              </w:rPr>
              <w:t>Brendan Lynch</w:t>
            </w:r>
          </w:p>
        </w:tc>
        <w:tc>
          <w:tcPr>
            <w:tcW w:w="3920" w:type="dxa"/>
            <w:vAlign w:val="bottom"/>
          </w:tcPr>
          <w:p>
            <w:pPr>
              <w:ind w:left="1100"/>
              <w:spacing w:after="0"/>
              <w:rPr>
                <w:sz w:val="20"/>
                <w:szCs w:val="20"/>
                <w:color w:val="auto"/>
              </w:rPr>
            </w:pPr>
            <w:r>
              <w:rPr>
                <w:rFonts w:ascii="Arial" w:cs="Arial" w:eastAsia="Arial" w:hAnsi="Arial"/>
                <w:sz w:val="14"/>
                <w:szCs w:val="14"/>
                <w:color w:val="auto"/>
              </w:rPr>
              <w:t>212.526.9428</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BMO Capital</w:t>
            </w:r>
          </w:p>
        </w:tc>
        <w:tc>
          <w:tcPr>
            <w:tcW w:w="3480" w:type="dxa"/>
            <w:vAlign w:val="bottom"/>
          </w:tcPr>
          <w:p>
            <w:pPr>
              <w:ind w:left="280"/>
              <w:spacing w:after="0"/>
              <w:rPr>
                <w:sz w:val="20"/>
                <w:szCs w:val="20"/>
                <w:color w:val="auto"/>
              </w:rPr>
            </w:pPr>
            <w:r>
              <w:rPr>
                <w:rFonts w:ascii="Arial" w:cs="Arial" w:eastAsia="Arial" w:hAnsi="Arial"/>
                <w:sz w:val="14"/>
                <w:szCs w:val="14"/>
                <w:color w:val="auto"/>
              </w:rPr>
              <w:t>John Kim</w:t>
            </w:r>
          </w:p>
        </w:tc>
        <w:tc>
          <w:tcPr>
            <w:tcW w:w="3920" w:type="dxa"/>
            <w:vAlign w:val="bottom"/>
          </w:tcPr>
          <w:p>
            <w:pPr>
              <w:ind w:left="1100"/>
              <w:spacing w:after="0"/>
              <w:rPr>
                <w:sz w:val="20"/>
                <w:szCs w:val="20"/>
                <w:color w:val="auto"/>
              </w:rPr>
            </w:pPr>
            <w:r>
              <w:rPr>
                <w:rFonts w:ascii="Arial" w:cs="Arial" w:eastAsia="Arial" w:hAnsi="Arial"/>
                <w:sz w:val="14"/>
                <w:szCs w:val="14"/>
                <w:color w:val="auto"/>
              </w:rPr>
              <w:t>212.885.4115</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BTIG</w:t>
            </w:r>
          </w:p>
        </w:tc>
        <w:tc>
          <w:tcPr>
            <w:tcW w:w="3480" w:type="dxa"/>
            <w:vAlign w:val="bottom"/>
          </w:tcPr>
          <w:p>
            <w:pPr>
              <w:ind w:left="280"/>
              <w:spacing w:after="0"/>
              <w:rPr>
                <w:sz w:val="20"/>
                <w:szCs w:val="20"/>
                <w:color w:val="auto"/>
              </w:rPr>
            </w:pPr>
            <w:r>
              <w:rPr>
                <w:rFonts w:ascii="Arial" w:cs="Arial" w:eastAsia="Arial" w:hAnsi="Arial"/>
                <w:sz w:val="14"/>
                <w:szCs w:val="14"/>
                <w:color w:val="auto"/>
              </w:rPr>
              <w:t>Tom Catherwood</w:t>
            </w:r>
          </w:p>
        </w:tc>
        <w:tc>
          <w:tcPr>
            <w:tcW w:w="3920" w:type="dxa"/>
            <w:vAlign w:val="bottom"/>
          </w:tcPr>
          <w:p>
            <w:pPr>
              <w:ind w:left="1100"/>
              <w:spacing w:after="0"/>
              <w:rPr>
                <w:sz w:val="20"/>
                <w:szCs w:val="20"/>
                <w:color w:val="auto"/>
              </w:rPr>
            </w:pPr>
            <w:r>
              <w:rPr>
                <w:rFonts w:ascii="Arial" w:cs="Arial" w:eastAsia="Arial" w:hAnsi="Arial"/>
                <w:sz w:val="14"/>
                <w:szCs w:val="14"/>
                <w:color w:val="auto"/>
              </w:rPr>
              <w:t>212.738.6140</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Citi</w:t>
            </w:r>
          </w:p>
        </w:tc>
        <w:tc>
          <w:tcPr>
            <w:tcW w:w="3480" w:type="dxa"/>
            <w:vAlign w:val="bottom"/>
          </w:tcPr>
          <w:p>
            <w:pPr>
              <w:ind w:left="280"/>
              <w:spacing w:after="0"/>
              <w:rPr>
                <w:sz w:val="20"/>
                <w:szCs w:val="20"/>
                <w:color w:val="auto"/>
              </w:rPr>
            </w:pPr>
            <w:r>
              <w:rPr>
                <w:rFonts w:ascii="Arial" w:cs="Arial" w:eastAsia="Arial" w:hAnsi="Arial"/>
                <w:sz w:val="14"/>
                <w:szCs w:val="14"/>
                <w:color w:val="auto"/>
              </w:rPr>
              <w:t>Nicholas Joseph / Michael Griffin</w:t>
            </w:r>
          </w:p>
        </w:tc>
        <w:tc>
          <w:tcPr>
            <w:tcW w:w="3920" w:type="dxa"/>
            <w:vAlign w:val="bottom"/>
          </w:tcPr>
          <w:p>
            <w:pPr>
              <w:ind w:left="1100"/>
              <w:spacing w:after="0"/>
              <w:rPr>
                <w:sz w:val="20"/>
                <w:szCs w:val="20"/>
                <w:color w:val="auto"/>
              </w:rPr>
            </w:pPr>
            <w:r>
              <w:rPr>
                <w:rFonts w:ascii="Arial" w:cs="Arial" w:eastAsia="Arial" w:hAnsi="Arial"/>
                <w:sz w:val="14"/>
                <w:szCs w:val="14"/>
                <w:color w:val="auto"/>
              </w:rPr>
              <w:t>212.816.1909 / 212.816.5871</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Compass Point Research &amp; Trading, LLC</w:t>
            </w:r>
          </w:p>
        </w:tc>
        <w:tc>
          <w:tcPr>
            <w:tcW w:w="3480" w:type="dxa"/>
            <w:vAlign w:val="bottom"/>
          </w:tcPr>
          <w:p>
            <w:pPr>
              <w:ind w:left="280"/>
              <w:spacing w:after="0"/>
              <w:rPr>
                <w:sz w:val="20"/>
                <w:szCs w:val="20"/>
                <w:color w:val="auto"/>
              </w:rPr>
            </w:pPr>
            <w:r>
              <w:rPr>
                <w:rFonts w:ascii="Arial" w:cs="Arial" w:eastAsia="Arial" w:hAnsi="Arial"/>
                <w:sz w:val="14"/>
                <w:szCs w:val="14"/>
                <w:color w:val="auto"/>
              </w:rPr>
              <w:t>Floris van Dijkum</w:t>
            </w:r>
          </w:p>
        </w:tc>
        <w:tc>
          <w:tcPr>
            <w:tcW w:w="3920" w:type="dxa"/>
            <w:vAlign w:val="bottom"/>
          </w:tcPr>
          <w:p>
            <w:pPr>
              <w:ind w:left="1100"/>
              <w:spacing w:after="0"/>
              <w:rPr>
                <w:sz w:val="20"/>
                <w:szCs w:val="20"/>
                <w:color w:val="auto"/>
              </w:rPr>
            </w:pPr>
            <w:r>
              <w:rPr>
                <w:rFonts w:ascii="Arial" w:cs="Arial" w:eastAsia="Arial" w:hAnsi="Arial"/>
                <w:sz w:val="14"/>
                <w:szCs w:val="14"/>
                <w:color w:val="auto"/>
              </w:rPr>
              <w:t>646.757.2621</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Deutsche Bank</w:t>
            </w:r>
          </w:p>
        </w:tc>
        <w:tc>
          <w:tcPr>
            <w:tcW w:w="3480" w:type="dxa"/>
            <w:vAlign w:val="bottom"/>
          </w:tcPr>
          <w:p>
            <w:pPr>
              <w:ind w:left="280"/>
              <w:spacing w:after="0"/>
              <w:rPr>
                <w:sz w:val="20"/>
                <w:szCs w:val="20"/>
                <w:color w:val="auto"/>
              </w:rPr>
            </w:pPr>
            <w:r>
              <w:rPr>
                <w:rFonts w:ascii="Arial" w:cs="Arial" w:eastAsia="Arial" w:hAnsi="Arial"/>
                <w:sz w:val="14"/>
                <w:szCs w:val="14"/>
                <w:color w:val="auto"/>
              </w:rPr>
              <w:t>Omotayo Okusanya</w:t>
            </w:r>
          </w:p>
        </w:tc>
        <w:tc>
          <w:tcPr>
            <w:tcW w:w="3920" w:type="dxa"/>
            <w:vAlign w:val="bottom"/>
          </w:tcPr>
          <w:p>
            <w:pPr>
              <w:ind w:left="1100"/>
              <w:spacing w:after="0"/>
              <w:rPr>
                <w:sz w:val="20"/>
                <w:szCs w:val="20"/>
                <w:color w:val="auto"/>
              </w:rPr>
            </w:pPr>
            <w:r>
              <w:rPr>
                <w:rFonts w:ascii="Arial" w:cs="Arial" w:eastAsia="Arial" w:hAnsi="Arial"/>
                <w:sz w:val="14"/>
                <w:szCs w:val="14"/>
                <w:color w:val="auto"/>
              </w:rPr>
              <w:t>212.250.9284</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Evercore ISI</w:t>
            </w:r>
          </w:p>
        </w:tc>
        <w:tc>
          <w:tcPr>
            <w:tcW w:w="3480" w:type="dxa"/>
            <w:vAlign w:val="bottom"/>
          </w:tcPr>
          <w:p>
            <w:pPr>
              <w:ind w:left="280"/>
              <w:spacing w:after="0"/>
              <w:rPr>
                <w:sz w:val="20"/>
                <w:szCs w:val="20"/>
                <w:color w:val="auto"/>
              </w:rPr>
            </w:pPr>
            <w:r>
              <w:rPr>
                <w:rFonts w:ascii="Arial" w:cs="Arial" w:eastAsia="Arial" w:hAnsi="Arial"/>
                <w:sz w:val="14"/>
                <w:szCs w:val="14"/>
                <w:color w:val="auto"/>
              </w:rPr>
              <w:t>Steve Sakwa</w:t>
            </w:r>
          </w:p>
        </w:tc>
        <w:tc>
          <w:tcPr>
            <w:tcW w:w="3920" w:type="dxa"/>
            <w:vAlign w:val="bottom"/>
          </w:tcPr>
          <w:p>
            <w:pPr>
              <w:ind w:left="1100"/>
              <w:spacing w:after="0"/>
              <w:rPr>
                <w:sz w:val="20"/>
                <w:szCs w:val="20"/>
                <w:color w:val="auto"/>
              </w:rPr>
            </w:pPr>
            <w:r>
              <w:rPr>
                <w:rFonts w:ascii="Arial" w:cs="Arial" w:eastAsia="Arial" w:hAnsi="Arial"/>
                <w:sz w:val="14"/>
                <w:szCs w:val="14"/>
                <w:color w:val="auto"/>
              </w:rPr>
              <w:t>212.446.9462</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Goldman Sachs</w:t>
            </w:r>
          </w:p>
        </w:tc>
        <w:tc>
          <w:tcPr>
            <w:tcW w:w="3480" w:type="dxa"/>
            <w:vAlign w:val="bottom"/>
          </w:tcPr>
          <w:p>
            <w:pPr>
              <w:ind w:left="280"/>
              <w:spacing w:after="0"/>
              <w:rPr>
                <w:sz w:val="20"/>
                <w:szCs w:val="20"/>
                <w:color w:val="auto"/>
              </w:rPr>
            </w:pPr>
            <w:r>
              <w:rPr>
                <w:rFonts w:ascii="Arial" w:cs="Arial" w:eastAsia="Arial" w:hAnsi="Arial"/>
                <w:sz w:val="14"/>
                <w:szCs w:val="14"/>
                <w:color w:val="auto"/>
              </w:rPr>
              <w:t>Caitlin Burrows</w:t>
            </w:r>
          </w:p>
        </w:tc>
        <w:tc>
          <w:tcPr>
            <w:tcW w:w="3920" w:type="dxa"/>
            <w:vAlign w:val="bottom"/>
          </w:tcPr>
          <w:p>
            <w:pPr>
              <w:ind w:left="1100"/>
              <w:spacing w:after="0"/>
              <w:rPr>
                <w:sz w:val="20"/>
                <w:szCs w:val="20"/>
                <w:color w:val="auto"/>
              </w:rPr>
            </w:pPr>
            <w:r>
              <w:rPr>
                <w:rFonts w:ascii="Arial" w:cs="Arial" w:eastAsia="Arial" w:hAnsi="Arial"/>
                <w:sz w:val="14"/>
                <w:szCs w:val="14"/>
                <w:color w:val="auto"/>
              </w:rPr>
              <w:t>212.902.4736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Green Street Advisors</w:t>
            </w:r>
          </w:p>
        </w:tc>
        <w:tc>
          <w:tcPr>
            <w:tcW w:w="3480" w:type="dxa"/>
            <w:vAlign w:val="bottom"/>
          </w:tcPr>
          <w:p>
            <w:pPr>
              <w:ind w:left="280"/>
              <w:spacing w:after="0"/>
              <w:rPr>
                <w:sz w:val="20"/>
                <w:szCs w:val="20"/>
                <w:color w:val="auto"/>
              </w:rPr>
            </w:pPr>
            <w:r>
              <w:rPr>
                <w:rFonts w:ascii="Arial" w:cs="Arial" w:eastAsia="Arial" w:hAnsi="Arial"/>
                <w:sz w:val="14"/>
                <w:szCs w:val="14"/>
                <w:color w:val="auto"/>
              </w:rPr>
              <w:t>Dylan Burzinski</w:t>
            </w:r>
          </w:p>
        </w:tc>
        <w:tc>
          <w:tcPr>
            <w:tcW w:w="3920" w:type="dxa"/>
            <w:vAlign w:val="bottom"/>
          </w:tcPr>
          <w:p>
            <w:pPr>
              <w:ind w:left="1100"/>
              <w:spacing w:after="0"/>
              <w:rPr>
                <w:sz w:val="20"/>
                <w:szCs w:val="20"/>
                <w:color w:val="auto"/>
              </w:rPr>
            </w:pPr>
            <w:r>
              <w:rPr>
                <w:rFonts w:ascii="Arial" w:cs="Arial" w:eastAsia="Arial" w:hAnsi="Arial"/>
                <w:sz w:val="14"/>
                <w:szCs w:val="14"/>
                <w:color w:val="auto"/>
              </w:rPr>
              <w:t>949.640.8780</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Jefferies &amp; Co.</w:t>
            </w:r>
          </w:p>
        </w:tc>
        <w:tc>
          <w:tcPr>
            <w:tcW w:w="3480" w:type="dxa"/>
            <w:vAlign w:val="bottom"/>
          </w:tcPr>
          <w:p>
            <w:pPr>
              <w:ind w:left="280"/>
              <w:spacing w:after="0"/>
              <w:rPr>
                <w:sz w:val="20"/>
                <w:szCs w:val="20"/>
                <w:color w:val="auto"/>
              </w:rPr>
            </w:pPr>
            <w:r>
              <w:rPr>
                <w:rFonts w:ascii="Arial" w:cs="Arial" w:eastAsia="Arial" w:hAnsi="Arial"/>
                <w:sz w:val="14"/>
                <w:szCs w:val="14"/>
                <w:color w:val="auto"/>
              </w:rPr>
              <w:t>Peter Abramowitz</w:t>
            </w:r>
          </w:p>
        </w:tc>
        <w:tc>
          <w:tcPr>
            <w:tcW w:w="3920" w:type="dxa"/>
            <w:vAlign w:val="bottom"/>
          </w:tcPr>
          <w:p>
            <w:pPr>
              <w:ind w:left="1100"/>
              <w:spacing w:after="0"/>
              <w:rPr>
                <w:sz w:val="20"/>
                <w:szCs w:val="20"/>
                <w:color w:val="auto"/>
              </w:rPr>
            </w:pPr>
            <w:r>
              <w:rPr>
                <w:rFonts w:ascii="Arial" w:cs="Arial" w:eastAsia="Arial" w:hAnsi="Arial"/>
                <w:sz w:val="14"/>
                <w:szCs w:val="14"/>
                <w:color w:val="auto"/>
              </w:rPr>
              <w:t>212.336.7241</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J.P. Morgan Securities</w:t>
            </w:r>
          </w:p>
        </w:tc>
        <w:tc>
          <w:tcPr>
            <w:tcW w:w="3480" w:type="dxa"/>
            <w:vAlign w:val="bottom"/>
          </w:tcPr>
          <w:p>
            <w:pPr>
              <w:ind w:left="280"/>
              <w:spacing w:after="0"/>
              <w:rPr>
                <w:sz w:val="20"/>
                <w:szCs w:val="20"/>
                <w:color w:val="auto"/>
              </w:rPr>
            </w:pPr>
            <w:r>
              <w:rPr>
                <w:rFonts w:ascii="Arial" w:cs="Arial" w:eastAsia="Arial" w:hAnsi="Arial"/>
                <w:sz w:val="14"/>
                <w:szCs w:val="14"/>
                <w:color w:val="auto"/>
              </w:rPr>
              <w:t>Anthony Paolone</w:t>
            </w:r>
          </w:p>
        </w:tc>
        <w:tc>
          <w:tcPr>
            <w:tcW w:w="3920" w:type="dxa"/>
            <w:vAlign w:val="bottom"/>
          </w:tcPr>
          <w:p>
            <w:pPr>
              <w:ind w:left="1100"/>
              <w:spacing w:after="0"/>
              <w:rPr>
                <w:sz w:val="20"/>
                <w:szCs w:val="20"/>
                <w:color w:val="auto"/>
              </w:rPr>
            </w:pPr>
            <w:r>
              <w:rPr>
                <w:rFonts w:ascii="Arial" w:cs="Arial" w:eastAsia="Arial" w:hAnsi="Arial"/>
                <w:sz w:val="14"/>
                <w:szCs w:val="14"/>
                <w:color w:val="auto"/>
              </w:rPr>
              <w:t>212.622.6682</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Keybanc Capital Market</w:t>
            </w:r>
          </w:p>
        </w:tc>
        <w:tc>
          <w:tcPr>
            <w:tcW w:w="3480" w:type="dxa"/>
            <w:vAlign w:val="bottom"/>
          </w:tcPr>
          <w:p>
            <w:pPr>
              <w:ind w:left="280"/>
              <w:spacing w:after="0"/>
              <w:rPr>
                <w:sz w:val="20"/>
                <w:szCs w:val="20"/>
                <w:color w:val="auto"/>
              </w:rPr>
            </w:pPr>
            <w:r>
              <w:rPr>
                <w:rFonts w:ascii="Arial" w:cs="Arial" w:eastAsia="Arial" w:hAnsi="Arial"/>
                <w:sz w:val="14"/>
                <w:szCs w:val="14"/>
                <w:color w:val="auto"/>
              </w:rPr>
              <w:t>Todd Thomas/Upal Rana</w:t>
            </w:r>
          </w:p>
        </w:tc>
        <w:tc>
          <w:tcPr>
            <w:tcW w:w="3920" w:type="dxa"/>
            <w:vAlign w:val="bottom"/>
          </w:tcPr>
          <w:p>
            <w:pPr>
              <w:ind w:left="1100"/>
              <w:spacing w:after="0"/>
              <w:rPr>
                <w:sz w:val="20"/>
                <w:szCs w:val="20"/>
                <w:color w:val="auto"/>
              </w:rPr>
            </w:pPr>
            <w:r>
              <w:rPr>
                <w:rFonts w:ascii="Arial" w:cs="Arial" w:eastAsia="Arial" w:hAnsi="Arial"/>
                <w:sz w:val="14"/>
                <w:szCs w:val="14"/>
                <w:color w:val="auto"/>
              </w:rPr>
              <w:t>917.368.2286 / 917.368.2316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Mizuho Securities</w:t>
            </w:r>
          </w:p>
        </w:tc>
        <w:tc>
          <w:tcPr>
            <w:tcW w:w="3480" w:type="dxa"/>
            <w:vAlign w:val="bottom"/>
          </w:tcPr>
          <w:p>
            <w:pPr>
              <w:ind w:left="280"/>
              <w:spacing w:after="0"/>
              <w:rPr>
                <w:sz w:val="20"/>
                <w:szCs w:val="20"/>
                <w:color w:val="auto"/>
              </w:rPr>
            </w:pPr>
            <w:r>
              <w:rPr>
                <w:rFonts w:ascii="Arial" w:cs="Arial" w:eastAsia="Arial" w:hAnsi="Arial"/>
                <w:sz w:val="14"/>
                <w:szCs w:val="14"/>
                <w:color w:val="auto"/>
              </w:rPr>
              <w:t>Vikram Malhotra</w:t>
            </w:r>
          </w:p>
        </w:tc>
        <w:tc>
          <w:tcPr>
            <w:tcW w:w="3920" w:type="dxa"/>
            <w:vAlign w:val="bottom"/>
          </w:tcPr>
          <w:p>
            <w:pPr>
              <w:ind w:left="1100"/>
              <w:spacing w:after="0"/>
              <w:rPr>
                <w:sz w:val="20"/>
                <w:szCs w:val="20"/>
                <w:color w:val="auto"/>
              </w:rPr>
            </w:pPr>
            <w:r>
              <w:rPr>
                <w:rFonts w:ascii="Arial" w:cs="Arial" w:eastAsia="Arial" w:hAnsi="Arial"/>
                <w:sz w:val="14"/>
                <w:szCs w:val="14"/>
                <w:color w:val="auto"/>
              </w:rPr>
              <w:t>212.209.9300</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Morgan Stanley</w:t>
            </w:r>
          </w:p>
        </w:tc>
        <w:tc>
          <w:tcPr>
            <w:tcW w:w="3480" w:type="dxa"/>
            <w:vAlign w:val="bottom"/>
          </w:tcPr>
          <w:p>
            <w:pPr>
              <w:ind w:left="280"/>
              <w:spacing w:after="0"/>
              <w:rPr>
                <w:sz w:val="20"/>
                <w:szCs w:val="20"/>
                <w:color w:val="auto"/>
              </w:rPr>
            </w:pPr>
            <w:r>
              <w:rPr>
                <w:rFonts w:ascii="Arial" w:cs="Arial" w:eastAsia="Arial" w:hAnsi="Arial"/>
                <w:sz w:val="14"/>
                <w:szCs w:val="14"/>
                <w:color w:val="auto"/>
              </w:rPr>
              <w:t>Ronald Kamdem</w:t>
            </w:r>
          </w:p>
        </w:tc>
        <w:tc>
          <w:tcPr>
            <w:tcW w:w="3920" w:type="dxa"/>
            <w:vAlign w:val="bottom"/>
          </w:tcPr>
          <w:p>
            <w:pPr>
              <w:ind w:left="1100"/>
              <w:spacing w:after="0"/>
              <w:rPr>
                <w:sz w:val="20"/>
                <w:szCs w:val="20"/>
                <w:color w:val="auto"/>
              </w:rPr>
            </w:pPr>
            <w:r>
              <w:rPr>
                <w:rFonts w:ascii="Arial" w:cs="Arial" w:eastAsia="Arial" w:hAnsi="Arial"/>
                <w:sz w:val="14"/>
                <w:szCs w:val="14"/>
                <w:color w:val="auto"/>
              </w:rPr>
              <w:t>212.296.8319</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Piper Sandler Companies</w:t>
            </w:r>
          </w:p>
        </w:tc>
        <w:tc>
          <w:tcPr>
            <w:tcW w:w="3480" w:type="dxa"/>
            <w:vAlign w:val="bottom"/>
          </w:tcPr>
          <w:p>
            <w:pPr>
              <w:ind w:left="280"/>
              <w:spacing w:after="0"/>
              <w:rPr>
                <w:sz w:val="20"/>
                <w:szCs w:val="20"/>
                <w:color w:val="auto"/>
              </w:rPr>
            </w:pPr>
            <w:r>
              <w:rPr>
                <w:rFonts w:ascii="Arial" w:cs="Arial" w:eastAsia="Arial" w:hAnsi="Arial"/>
                <w:sz w:val="14"/>
                <w:szCs w:val="14"/>
                <w:color w:val="auto"/>
              </w:rPr>
              <w:t>Alexander Goldfarb</w:t>
            </w:r>
          </w:p>
        </w:tc>
        <w:tc>
          <w:tcPr>
            <w:tcW w:w="3920" w:type="dxa"/>
            <w:vAlign w:val="bottom"/>
          </w:tcPr>
          <w:p>
            <w:pPr>
              <w:ind w:left="1100"/>
              <w:spacing w:after="0"/>
              <w:rPr>
                <w:sz w:val="20"/>
                <w:szCs w:val="20"/>
                <w:color w:val="auto"/>
              </w:rPr>
            </w:pPr>
            <w:r>
              <w:rPr>
                <w:rFonts w:ascii="Arial" w:cs="Arial" w:eastAsia="Arial" w:hAnsi="Arial"/>
                <w:sz w:val="14"/>
                <w:szCs w:val="14"/>
                <w:color w:val="auto"/>
              </w:rPr>
              <w:t>212.466.7937</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Scotiabank GBM</w:t>
            </w:r>
          </w:p>
        </w:tc>
        <w:tc>
          <w:tcPr>
            <w:tcW w:w="3480" w:type="dxa"/>
            <w:vAlign w:val="bottom"/>
          </w:tcPr>
          <w:p>
            <w:pPr>
              <w:ind w:left="280"/>
              <w:spacing w:after="0"/>
              <w:rPr>
                <w:sz w:val="20"/>
                <w:szCs w:val="20"/>
                <w:color w:val="auto"/>
              </w:rPr>
            </w:pPr>
            <w:r>
              <w:rPr>
                <w:rFonts w:ascii="Arial" w:cs="Arial" w:eastAsia="Arial" w:hAnsi="Arial"/>
                <w:sz w:val="14"/>
                <w:szCs w:val="14"/>
                <w:color w:val="auto"/>
              </w:rPr>
              <w:t>Nicholas Yulico</w:t>
            </w:r>
          </w:p>
        </w:tc>
        <w:tc>
          <w:tcPr>
            <w:tcW w:w="3920" w:type="dxa"/>
            <w:vAlign w:val="bottom"/>
          </w:tcPr>
          <w:p>
            <w:pPr>
              <w:ind w:left="1100"/>
              <w:spacing w:after="0"/>
              <w:rPr>
                <w:sz w:val="20"/>
                <w:szCs w:val="20"/>
                <w:color w:val="auto"/>
              </w:rPr>
            </w:pPr>
            <w:r>
              <w:rPr>
                <w:rFonts w:ascii="Arial" w:cs="Arial" w:eastAsia="Arial" w:hAnsi="Arial"/>
                <w:sz w:val="14"/>
                <w:szCs w:val="14"/>
                <w:color w:val="auto"/>
              </w:rPr>
              <w:t>212.225.6904</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Truist Securities</w:t>
            </w:r>
          </w:p>
        </w:tc>
        <w:tc>
          <w:tcPr>
            <w:tcW w:w="3480" w:type="dxa"/>
            <w:vAlign w:val="bottom"/>
          </w:tcPr>
          <w:p>
            <w:pPr>
              <w:ind w:left="280"/>
              <w:spacing w:after="0"/>
              <w:rPr>
                <w:sz w:val="20"/>
                <w:szCs w:val="20"/>
                <w:color w:val="auto"/>
              </w:rPr>
            </w:pPr>
            <w:r>
              <w:rPr>
                <w:rFonts w:ascii="Arial" w:cs="Arial" w:eastAsia="Arial" w:hAnsi="Arial"/>
                <w:sz w:val="14"/>
                <w:szCs w:val="14"/>
                <w:color w:val="auto"/>
              </w:rPr>
              <w:t>Michael Lewis</w:t>
            </w:r>
          </w:p>
        </w:tc>
        <w:tc>
          <w:tcPr>
            <w:tcW w:w="3920" w:type="dxa"/>
            <w:vAlign w:val="bottom"/>
          </w:tcPr>
          <w:p>
            <w:pPr>
              <w:ind w:left="1100"/>
              <w:spacing w:after="0"/>
              <w:rPr>
                <w:sz w:val="20"/>
                <w:szCs w:val="20"/>
                <w:color w:val="auto"/>
              </w:rPr>
            </w:pPr>
            <w:r>
              <w:rPr>
                <w:rFonts w:ascii="Arial" w:cs="Arial" w:eastAsia="Arial" w:hAnsi="Arial"/>
                <w:sz w:val="14"/>
                <w:szCs w:val="14"/>
                <w:color w:val="auto"/>
              </w:rPr>
              <w:t>212.319.5659</w:t>
            </w:r>
          </w:p>
        </w:tc>
        <w:tc>
          <w:tcPr>
            <w:tcW w:w="40" w:type="dxa"/>
            <w:vAlign w:val="bottom"/>
          </w:tcPr>
          <w:p>
            <w:pPr>
              <w:spacing w:after="0"/>
              <w:rPr>
                <w:sz w:val="17"/>
                <w:szCs w:val="17"/>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UBS US Equity Research</w:t>
            </w:r>
          </w:p>
        </w:tc>
        <w:tc>
          <w:tcPr>
            <w:tcW w:w="3480" w:type="dxa"/>
            <w:vAlign w:val="bottom"/>
          </w:tcPr>
          <w:p>
            <w:pPr>
              <w:ind w:left="280"/>
              <w:spacing w:after="0"/>
              <w:rPr>
                <w:sz w:val="20"/>
                <w:szCs w:val="20"/>
                <w:color w:val="auto"/>
              </w:rPr>
            </w:pPr>
            <w:r>
              <w:rPr>
                <w:rFonts w:ascii="Arial" w:cs="Arial" w:eastAsia="Arial" w:hAnsi="Arial"/>
                <w:sz w:val="14"/>
                <w:szCs w:val="14"/>
                <w:color w:val="auto"/>
              </w:rPr>
              <w:t>Michael Goldsmith</w:t>
            </w:r>
          </w:p>
        </w:tc>
        <w:tc>
          <w:tcPr>
            <w:tcW w:w="3920" w:type="dxa"/>
            <w:vAlign w:val="bottom"/>
          </w:tcPr>
          <w:p>
            <w:pPr>
              <w:ind w:left="1100"/>
              <w:spacing w:after="0"/>
              <w:rPr>
                <w:sz w:val="20"/>
                <w:szCs w:val="20"/>
                <w:color w:val="auto"/>
              </w:rPr>
            </w:pPr>
            <w:r>
              <w:rPr>
                <w:rFonts w:ascii="Arial" w:cs="Arial" w:eastAsia="Arial" w:hAnsi="Arial"/>
                <w:sz w:val="14"/>
                <w:szCs w:val="14"/>
                <w:color w:val="auto"/>
              </w:rPr>
              <w:t>212.713.2951</w:t>
            </w:r>
          </w:p>
        </w:tc>
        <w:tc>
          <w:tcPr>
            <w:tcW w:w="40" w:type="dxa"/>
            <w:vAlign w:val="bottom"/>
          </w:tcPr>
          <w:p>
            <w:pPr>
              <w:spacing w:after="0"/>
              <w:rPr>
                <w:sz w:val="18"/>
                <w:szCs w:val="18"/>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Wedbush</w:t>
            </w:r>
          </w:p>
        </w:tc>
        <w:tc>
          <w:tcPr>
            <w:tcW w:w="3480" w:type="dxa"/>
            <w:vAlign w:val="bottom"/>
          </w:tcPr>
          <w:p>
            <w:pPr>
              <w:ind w:left="280"/>
              <w:spacing w:after="0"/>
              <w:rPr>
                <w:sz w:val="20"/>
                <w:szCs w:val="20"/>
                <w:color w:val="auto"/>
              </w:rPr>
            </w:pPr>
            <w:r>
              <w:rPr>
                <w:rFonts w:ascii="Arial" w:cs="Arial" w:eastAsia="Arial" w:hAnsi="Arial"/>
                <w:sz w:val="14"/>
                <w:szCs w:val="14"/>
                <w:color w:val="auto"/>
              </w:rPr>
              <w:t>Richard Anderson</w:t>
            </w:r>
          </w:p>
        </w:tc>
        <w:tc>
          <w:tcPr>
            <w:tcW w:w="3920" w:type="dxa"/>
            <w:vAlign w:val="bottom"/>
          </w:tcPr>
          <w:p>
            <w:pPr>
              <w:ind w:left="1100"/>
              <w:spacing w:after="0"/>
              <w:rPr>
                <w:sz w:val="20"/>
                <w:szCs w:val="20"/>
                <w:color w:val="auto"/>
              </w:rPr>
            </w:pPr>
            <w:r>
              <w:rPr>
                <w:rFonts w:ascii="Arial" w:cs="Arial" w:eastAsia="Arial" w:hAnsi="Arial"/>
                <w:sz w:val="14"/>
                <w:szCs w:val="14"/>
                <w:color w:val="auto"/>
              </w:rPr>
              <w:t>212.938.9949</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Wells Fargo Securities</w:t>
            </w:r>
          </w:p>
        </w:tc>
        <w:tc>
          <w:tcPr>
            <w:tcW w:w="3480" w:type="dxa"/>
            <w:vAlign w:val="bottom"/>
          </w:tcPr>
          <w:p>
            <w:pPr>
              <w:ind w:left="280"/>
              <w:spacing w:after="0"/>
              <w:rPr>
                <w:sz w:val="20"/>
                <w:szCs w:val="20"/>
                <w:color w:val="auto"/>
              </w:rPr>
            </w:pPr>
            <w:r>
              <w:rPr>
                <w:rFonts w:ascii="Arial" w:cs="Arial" w:eastAsia="Arial" w:hAnsi="Arial"/>
                <w:sz w:val="14"/>
                <w:szCs w:val="14"/>
                <w:color w:val="auto"/>
              </w:rPr>
              <w:t>Blaine Heck</w:t>
            </w:r>
          </w:p>
        </w:tc>
        <w:tc>
          <w:tcPr>
            <w:tcW w:w="3920" w:type="dxa"/>
            <w:vAlign w:val="bottom"/>
          </w:tcPr>
          <w:p>
            <w:pPr>
              <w:ind w:left="1100"/>
              <w:spacing w:after="0"/>
              <w:rPr>
                <w:sz w:val="20"/>
                <w:szCs w:val="20"/>
                <w:color w:val="auto"/>
              </w:rPr>
            </w:pPr>
            <w:r>
              <w:rPr>
                <w:rFonts w:ascii="Arial" w:cs="Arial" w:eastAsia="Arial" w:hAnsi="Arial"/>
                <w:sz w:val="14"/>
                <w:szCs w:val="14"/>
                <w:color w:val="auto"/>
              </w:rPr>
              <w:t>443.263.6529</w:t>
            </w:r>
          </w:p>
        </w:tc>
        <w:tc>
          <w:tcPr>
            <w:tcW w:w="40" w:type="dxa"/>
            <w:vAlign w:val="bottom"/>
          </w:tcPr>
          <w:p>
            <w:pPr>
              <w:spacing w:after="0"/>
              <w:rPr>
                <w:sz w:val="17"/>
                <w:szCs w:val="17"/>
                <w:color w:val="auto"/>
              </w:rPr>
            </w:pPr>
          </w:p>
        </w:tc>
      </w:tr>
      <w:tr>
        <w:trPr>
          <w:trHeight w:val="202"/>
        </w:trPr>
        <w:tc>
          <w:tcPr>
            <w:tcW w:w="2920" w:type="dxa"/>
            <w:vAlign w:val="bottom"/>
          </w:tcPr>
          <w:p>
            <w:pPr>
              <w:ind w:left="20"/>
              <w:spacing w:after="0"/>
              <w:rPr>
                <w:sz w:val="20"/>
                <w:szCs w:val="20"/>
                <w:color w:val="auto"/>
              </w:rPr>
            </w:pPr>
            <w:r>
              <w:rPr>
                <w:rFonts w:ascii="Arial" w:cs="Arial" w:eastAsia="Arial" w:hAnsi="Arial"/>
                <w:sz w:val="14"/>
                <w:szCs w:val="14"/>
                <w:color w:val="auto"/>
              </w:rPr>
              <w:t>Wolfe Research</w:t>
            </w:r>
          </w:p>
        </w:tc>
        <w:tc>
          <w:tcPr>
            <w:tcW w:w="3480" w:type="dxa"/>
            <w:vAlign w:val="bottom"/>
          </w:tcPr>
          <w:p>
            <w:pPr>
              <w:ind w:left="280"/>
              <w:spacing w:after="0"/>
              <w:rPr>
                <w:sz w:val="20"/>
                <w:szCs w:val="20"/>
                <w:color w:val="auto"/>
              </w:rPr>
            </w:pPr>
            <w:r>
              <w:rPr>
                <w:rFonts w:ascii="Arial" w:cs="Arial" w:eastAsia="Arial" w:hAnsi="Arial"/>
                <w:sz w:val="14"/>
                <w:szCs w:val="14"/>
                <w:color w:val="auto"/>
              </w:rPr>
              <w:t>Andrew Rosivach</w:t>
            </w:r>
          </w:p>
        </w:tc>
        <w:tc>
          <w:tcPr>
            <w:tcW w:w="3920" w:type="dxa"/>
            <w:vAlign w:val="bottom"/>
          </w:tcPr>
          <w:p>
            <w:pPr>
              <w:ind w:left="1100"/>
              <w:spacing w:after="0"/>
              <w:rPr>
                <w:sz w:val="20"/>
                <w:szCs w:val="20"/>
                <w:color w:val="auto"/>
              </w:rPr>
            </w:pPr>
            <w:r>
              <w:rPr>
                <w:rFonts w:ascii="Arial" w:cs="Arial" w:eastAsia="Arial" w:hAnsi="Arial"/>
                <w:sz w:val="14"/>
                <w:szCs w:val="14"/>
                <w:color w:val="auto"/>
              </w:rPr>
              <w:t>646.582.9250</w:t>
            </w:r>
          </w:p>
        </w:tc>
        <w:tc>
          <w:tcPr>
            <w:tcW w:w="40" w:type="dxa"/>
            <w:vAlign w:val="bottom"/>
          </w:tcPr>
          <w:p>
            <w:pPr>
              <w:spacing w:after="0"/>
              <w:rPr>
                <w:sz w:val="17"/>
                <w:szCs w:val="17"/>
                <w:color w:val="auto"/>
              </w:rPr>
            </w:pPr>
          </w:p>
        </w:tc>
      </w:tr>
      <w:tr>
        <w:trPr>
          <w:trHeight w:val="339"/>
        </w:trPr>
        <w:tc>
          <w:tcPr>
            <w:tcW w:w="29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Debt Research Coverage</w:t>
            </w:r>
          </w:p>
        </w:tc>
        <w:tc>
          <w:tcPr>
            <w:tcW w:w="3480" w:type="dxa"/>
            <w:vAlign w:val="bottom"/>
            <w:tcBorders>
              <w:bottom w:val="single" w:sz="8" w:color="828282"/>
            </w:tcBorders>
          </w:tcPr>
          <w:p>
            <w:pPr>
              <w:spacing w:after="0"/>
              <w:rPr>
                <w:sz w:val="24"/>
                <w:szCs w:val="24"/>
                <w:color w:val="auto"/>
              </w:rPr>
            </w:pPr>
          </w:p>
        </w:tc>
        <w:tc>
          <w:tcPr>
            <w:tcW w:w="3920" w:type="dxa"/>
            <w:vAlign w:val="bottom"/>
            <w:tcBorders>
              <w:bottom w:val="single" w:sz="8" w:color="828282"/>
            </w:tcBorders>
          </w:tcPr>
          <w:p>
            <w:pPr>
              <w:spacing w:after="0"/>
              <w:rPr>
                <w:sz w:val="24"/>
                <w:szCs w:val="24"/>
                <w:color w:val="auto"/>
              </w:rPr>
            </w:pPr>
          </w:p>
        </w:tc>
        <w:tc>
          <w:tcPr>
            <w:tcW w:w="40" w:type="dxa"/>
            <w:vAlign w:val="bottom"/>
            <w:tcBorders>
              <w:bottom w:val="single" w:sz="8" w:color="828282"/>
            </w:tcBorders>
          </w:tcPr>
          <w:p>
            <w:pPr>
              <w:spacing w:after="0"/>
              <w:rPr>
                <w:sz w:val="24"/>
                <w:szCs w:val="24"/>
                <w:color w:val="auto"/>
              </w:rPr>
            </w:pPr>
          </w:p>
        </w:tc>
      </w:tr>
      <w:tr>
        <w:trPr>
          <w:trHeight w:val="195"/>
        </w:trPr>
        <w:tc>
          <w:tcPr>
            <w:tcW w:w="2920" w:type="dxa"/>
            <w:vAlign w:val="bottom"/>
          </w:tcPr>
          <w:p>
            <w:pPr>
              <w:ind w:left="20"/>
              <w:spacing w:after="0"/>
              <w:rPr>
                <w:sz w:val="20"/>
                <w:szCs w:val="20"/>
                <w:color w:val="auto"/>
              </w:rPr>
            </w:pPr>
            <w:r>
              <w:rPr>
                <w:rFonts w:ascii="Arial" w:cs="Arial" w:eastAsia="Arial" w:hAnsi="Arial"/>
                <w:sz w:val="14"/>
                <w:szCs w:val="14"/>
                <w:color w:val="auto"/>
              </w:rPr>
              <w:t>Barclays</w:t>
            </w:r>
          </w:p>
        </w:tc>
        <w:tc>
          <w:tcPr>
            <w:tcW w:w="3480" w:type="dxa"/>
            <w:vAlign w:val="bottom"/>
          </w:tcPr>
          <w:p>
            <w:pPr>
              <w:ind w:left="300"/>
              <w:spacing w:after="0"/>
              <w:rPr>
                <w:sz w:val="20"/>
                <w:szCs w:val="20"/>
                <w:color w:val="auto"/>
              </w:rPr>
            </w:pPr>
            <w:r>
              <w:rPr>
                <w:rFonts w:ascii="Arial" w:cs="Arial" w:eastAsia="Arial" w:hAnsi="Arial"/>
                <w:sz w:val="14"/>
                <w:szCs w:val="14"/>
                <w:color w:val="auto"/>
              </w:rPr>
              <w:t>Srinjoy Banerjee</w:t>
            </w:r>
          </w:p>
        </w:tc>
        <w:tc>
          <w:tcPr>
            <w:tcW w:w="3920" w:type="dxa"/>
            <w:vAlign w:val="bottom"/>
          </w:tcPr>
          <w:p>
            <w:pPr>
              <w:ind w:left="1140"/>
              <w:spacing w:after="0"/>
              <w:rPr>
                <w:sz w:val="20"/>
                <w:szCs w:val="20"/>
                <w:color w:val="auto"/>
              </w:rPr>
            </w:pPr>
            <w:r>
              <w:rPr>
                <w:rFonts w:ascii="Arial" w:cs="Arial" w:eastAsia="Arial" w:hAnsi="Arial"/>
                <w:sz w:val="14"/>
                <w:szCs w:val="14"/>
                <w:color w:val="auto"/>
              </w:rPr>
              <w:t>212.526.3521</w:t>
            </w:r>
          </w:p>
        </w:tc>
        <w:tc>
          <w:tcPr>
            <w:tcW w:w="40" w:type="dxa"/>
            <w:vAlign w:val="bottom"/>
          </w:tcPr>
          <w:p>
            <w:pPr>
              <w:spacing w:after="0"/>
              <w:rPr>
                <w:sz w:val="16"/>
                <w:szCs w:val="16"/>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J.P. Morgan Securities</w:t>
            </w:r>
          </w:p>
        </w:tc>
        <w:tc>
          <w:tcPr>
            <w:tcW w:w="3480" w:type="dxa"/>
            <w:vAlign w:val="bottom"/>
          </w:tcPr>
          <w:p>
            <w:pPr>
              <w:ind w:left="300"/>
              <w:spacing w:after="0"/>
              <w:rPr>
                <w:sz w:val="20"/>
                <w:szCs w:val="20"/>
                <w:color w:val="auto"/>
              </w:rPr>
            </w:pPr>
            <w:r>
              <w:rPr>
                <w:rFonts w:ascii="Arial" w:cs="Arial" w:eastAsia="Arial" w:hAnsi="Arial"/>
                <w:sz w:val="14"/>
                <w:szCs w:val="14"/>
                <w:color w:val="auto"/>
              </w:rPr>
              <w:t>Mark Streeter</w:t>
            </w:r>
          </w:p>
        </w:tc>
        <w:tc>
          <w:tcPr>
            <w:tcW w:w="3920" w:type="dxa"/>
            <w:vAlign w:val="bottom"/>
          </w:tcPr>
          <w:p>
            <w:pPr>
              <w:ind w:left="1140"/>
              <w:spacing w:after="0"/>
              <w:rPr>
                <w:sz w:val="20"/>
                <w:szCs w:val="20"/>
                <w:color w:val="auto"/>
              </w:rPr>
            </w:pPr>
            <w:r>
              <w:rPr>
                <w:rFonts w:ascii="Arial" w:cs="Arial" w:eastAsia="Arial" w:hAnsi="Arial"/>
                <w:sz w:val="14"/>
                <w:szCs w:val="14"/>
                <w:color w:val="auto"/>
              </w:rPr>
              <w:t>212.834.5086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US Bank</w:t>
            </w:r>
          </w:p>
        </w:tc>
        <w:tc>
          <w:tcPr>
            <w:tcW w:w="3480" w:type="dxa"/>
            <w:vAlign w:val="bottom"/>
          </w:tcPr>
          <w:p>
            <w:pPr>
              <w:ind w:left="300"/>
              <w:spacing w:after="0"/>
              <w:rPr>
                <w:sz w:val="20"/>
                <w:szCs w:val="20"/>
                <w:color w:val="auto"/>
              </w:rPr>
            </w:pPr>
            <w:r>
              <w:rPr>
                <w:rFonts w:ascii="Arial" w:cs="Arial" w:eastAsia="Arial" w:hAnsi="Arial"/>
                <w:sz w:val="14"/>
                <w:szCs w:val="14"/>
                <w:color w:val="auto"/>
              </w:rPr>
              <w:t>Bill Stafford</w:t>
            </w:r>
          </w:p>
        </w:tc>
        <w:tc>
          <w:tcPr>
            <w:tcW w:w="3920" w:type="dxa"/>
            <w:vAlign w:val="bottom"/>
          </w:tcPr>
          <w:p>
            <w:pPr>
              <w:ind w:left="1140"/>
              <w:spacing w:after="0"/>
              <w:rPr>
                <w:sz w:val="20"/>
                <w:szCs w:val="20"/>
                <w:color w:val="auto"/>
              </w:rPr>
            </w:pPr>
            <w:r>
              <w:rPr>
                <w:rFonts w:ascii="Arial" w:cs="Arial" w:eastAsia="Arial" w:hAnsi="Arial"/>
                <w:sz w:val="14"/>
                <w:szCs w:val="14"/>
                <w:color w:val="auto"/>
              </w:rPr>
              <w:t>877.558.2605</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Wells Fargo</w:t>
            </w:r>
          </w:p>
        </w:tc>
        <w:tc>
          <w:tcPr>
            <w:tcW w:w="3480" w:type="dxa"/>
            <w:vAlign w:val="bottom"/>
          </w:tcPr>
          <w:p>
            <w:pPr>
              <w:ind w:left="300"/>
              <w:spacing w:after="0"/>
              <w:rPr>
                <w:sz w:val="20"/>
                <w:szCs w:val="20"/>
                <w:color w:val="auto"/>
              </w:rPr>
            </w:pPr>
            <w:r>
              <w:rPr>
                <w:rFonts w:ascii="Arial" w:cs="Arial" w:eastAsia="Arial" w:hAnsi="Arial"/>
                <w:sz w:val="14"/>
                <w:szCs w:val="14"/>
                <w:color w:val="auto"/>
              </w:rPr>
              <w:t>Kevin McClure</w:t>
            </w:r>
          </w:p>
        </w:tc>
        <w:tc>
          <w:tcPr>
            <w:tcW w:w="3920" w:type="dxa"/>
            <w:vAlign w:val="bottom"/>
          </w:tcPr>
          <w:p>
            <w:pPr>
              <w:ind w:left="1140"/>
              <w:spacing w:after="0"/>
              <w:rPr>
                <w:sz w:val="20"/>
                <w:szCs w:val="20"/>
                <w:color w:val="auto"/>
              </w:rPr>
            </w:pPr>
            <w:r>
              <w:rPr>
                <w:rFonts w:ascii="Arial" w:cs="Arial" w:eastAsia="Arial" w:hAnsi="Arial"/>
                <w:sz w:val="14"/>
                <w:szCs w:val="14"/>
                <w:color w:val="auto"/>
              </w:rPr>
              <w:t>704.410.1100</w:t>
            </w:r>
          </w:p>
        </w:tc>
        <w:tc>
          <w:tcPr>
            <w:tcW w:w="40" w:type="dxa"/>
            <w:vAlign w:val="bottom"/>
          </w:tcPr>
          <w:p>
            <w:pPr>
              <w:spacing w:after="0"/>
              <w:rPr>
                <w:sz w:val="17"/>
                <w:szCs w:val="17"/>
                <w:color w:val="auto"/>
              </w:rPr>
            </w:pPr>
          </w:p>
        </w:tc>
      </w:tr>
      <w:tr>
        <w:trPr>
          <w:trHeight w:val="325"/>
        </w:trPr>
        <w:tc>
          <w:tcPr>
            <w:tcW w:w="29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Rating Agencies</w:t>
            </w:r>
          </w:p>
        </w:tc>
        <w:tc>
          <w:tcPr>
            <w:tcW w:w="3480" w:type="dxa"/>
            <w:vAlign w:val="bottom"/>
            <w:tcBorders>
              <w:bottom w:val="single" w:sz="8" w:color="828282"/>
            </w:tcBorders>
          </w:tcPr>
          <w:p>
            <w:pPr>
              <w:spacing w:after="0"/>
              <w:rPr>
                <w:sz w:val="24"/>
                <w:szCs w:val="24"/>
                <w:color w:val="auto"/>
              </w:rPr>
            </w:pPr>
          </w:p>
        </w:tc>
        <w:tc>
          <w:tcPr>
            <w:tcW w:w="3920" w:type="dxa"/>
            <w:vAlign w:val="bottom"/>
            <w:tcBorders>
              <w:bottom w:val="single" w:sz="8" w:color="828282"/>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920" w:type="dxa"/>
            <w:vAlign w:val="bottom"/>
          </w:tcPr>
          <w:p>
            <w:pPr>
              <w:ind w:left="20"/>
              <w:spacing w:after="0"/>
              <w:rPr>
                <w:sz w:val="20"/>
                <w:szCs w:val="20"/>
                <w:color w:val="auto"/>
              </w:rPr>
            </w:pPr>
            <w:r>
              <w:rPr>
                <w:rFonts w:ascii="Arial" w:cs="Arial" w:eastAsia="Arial" w:hAnsi="Arial"/>
                <w:sz w:val="14"/>
                <w:szCs w:val="14"/>
                <w:color w:val="auto"/>
              </w:rPr>
              <w:t>Moody’s Investors Service</w:t>
            </w:r>
          </w:p>
        </w:tc>
        <w:tc>
          <w:tcPr>
            <w:tcW w:w="3480" w:type="dxa"/>
            <w:vAlign w:val="bottom"/>
          </w:tcPr>
          <w:p>
            <w:pPr>
              <w:ind w:left="280"/>
              <w:spacing w:after="0"/>
              <w:rPr>
                <w:sz w:val="20"/>
                <w:szCs w:val="20"/>
                <w:color w:val="auto"/>
              </w:rPr>
            </w:pPr>
            <w:r>
              <w:rPr>
                <w:rFonts w:ascii="Arial" w:cs="Arial" w:eastAsia="Arial" w:hAnsi="Arial"/>
                <w:sz w:val="14"/>
                <w:szCs w:val="14"/>
                <w:color w:val="auto"/>
              </w:rPr>
              <w:t>Christian Azzi</w:t>
            </w:r>
          </w:p>
        </w:tc>
        <w:tc>
          <w:tcPr>
            <w:tcW w:w="3920" w:type="dxa"/>
            <w:vAlign w:val="bottom"/>
          </w:tcPr>
          <w:p>
            <w:pPr>
              <w:ind w:left="1100"/>
              <w:spacing w:after="0"/>
              <w:rPr>
                <w:sz w:val="20"/>
                <w:szCs w:val="20"/>
                <w:color w:val="auto"/>
              </w:rPr>
            </w:pPr>
            <w:r>
              <w:rPr>
                <w:rFonts w:ascii="Arial" w:cs="Arial" w:eastAsia="Arial" w:hAnsi="Arial"/>
                <w:sz w:val="14"/>
                <w:szCs w:val="14"/>
                <w:color w:val="auto"/>
              </w:rPr>
              <w:t>212.553.7718</w:t>
            </w:r>
          </w:p>
        </w:tc>
        <w:tc>
          <w:tcPr>
            <w:tcW w:w="40" w:type="dxa"/>
            <w:vAlign w:val="bottom"/>
          </w:tcPr>
          <w:p>
            <w:pPr>
              <w:spacing w:after="0"/>
              <w:rPr>
                <w:sz w:val="16"/>
                <w:szCs w:val="16"/>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Standard &amp; Poor’s</w:t>
            </w:r>
          </w:p>
        </w:tc>
        <w:tc>
          <w:tcPr>
            <w:tcW w:w="3480" w:type="dxa"/>
            <w:vAlign w:val="bottom"/>
          </w:tcPr>
          <w:p>
            <w:pPr>
              <w:ind w:left="280"/>
              <w:spacing w:after="0"/>
              <w:rPr>
                <w:sz w:val="20"/>
                <w:szCs w:val="20"/>
                <w:color w:val="auto"/>
              </w:rPr>
            </w:pPr>
            <w:r>
              <w:rPr>
                <w:rFonts w:ascii="Arial" w:cs="Arial" w:eastAsia="Arial" w:hAnsi="Arial"/>
                <w:sz w:val="14"/>
                <w:szCs w:val="14"/>
                <w:color w:val="auto"/>
              </w:rPr>
              <w:t>Michael Souers</w:t>
            </w:r>
          </w:p>
        </w:tc>
        <w:tc>
          <w:tcPr>
            <w:tcW w:w="3920" w:type="dxa"/>
            <w:vAlign w:val="bottom"/>
          </w:tcPr>
          <w:p>
            <w:pPr>
              <w:ind w:left="1100"/>
              <w:spacing w:after="0"/>
              <w:rPr>
                <w:sz w:val="20"/>
                <w:szCs w:val="20"/>
                <w:color w:val="auto"/>
              </w:rPr>
            </w:pPr>
            <w:r>
              <w:rPr>
                <w:rFonts w:ascii="Arial" w:cs="Arial" w:eastAsia="Arial" w:hAnsi="Arial"/>
                <w:sz w:val="14"/>
                <w:szCs w:val="14"/>
                <w:color w:val="auto"/>
              </w:rPr>
              <w:t>212.438.2508</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265" w:right="339" w:bottom="1440" w:gutter="0" w:footer="0" w:header="0"/>
        </w:sectPr>
      </w:pPr>
    </w:p>
    <w:bookmarkStart w:id="64" w:name="page65"/>
    <w:bookmarkEnd w:id="6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This section contains definitions of certain non-GAAP financial measures and other terms that the Company uses in this Supplemental report and, if applicable, the reasons why management believes these non-GAAP financial measures provide useful information to investors about the Company’s financial condition and results of operations and the other purposes for which management uses the measures. Additional detail can be found in the Company’s most recent annual report on Form 10-K and quarterly report on Form 10-Q, as well as other documents the Company files or furnishes to the SEC from time to time.</w:t>
      </w:r>
    </w:p>
    <w:p>
      <w:pPr>
        <w:spacing w:after="0" w:line="11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 also presents “</w:t>
      </w:r>
      <w:r>
        <w:rPr>
          <w:rFonts w:ascii="Arial" w:cs="Arial" w:eastAsia="Arial" w:hAnsi="Arial"/>
          <w:sz w:val="14"/>
          <w:szCs w:val="14"/>
          <w:b w:val="1"/>
          <w:bCs w:val="1"/>
          <w:color w:val="auto"/>
        </w:rPr>
        <w:t>BXP’s Share</w:t>
      </w:r>
      <w:r>
        <w:rPr>
          <w:rFonts w:ascii="Arial" w:cs="Arial" w:eastAsia="Arial" w:hAnsi="Arial"/>
          <w:sz w:val="14"/>
          <w:szCs w:val="14"/>
          <w:color w:val="auto"/>
        </w:rPr>
        <w:t>” of certain of these measures, which are non-GAAP financial measures that are calculated as the consolidated amount calculated in accordance with GAAP, plus the Company’s share of the amount from the Company’s unconsolidated joint ventures (calculated based upon the Company’s percentage ownership interest and, in some cases, after priority allocations), minus the Company’s partners’ share of the amount from the Company’s consolidated joint ventures (calculated based upon the partners’ percentage ownership interests and, in some cases, after income allocation to private REIT shareholders and their share of fees due to the Company). Management believes that presenting “BXP’s Share” of these measures provides useful information to investors regarding the Company’s financial condition and/or results of operations because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management believes that presenting BXP’s Share of various financial measures in this manner can help investors better understand the Company’s financial condition and/or results of operations after taking into account its true economic interest in these joint ventures. The Company cautions investors that the ownership percentages used in calculating “BXP’s Share” of these measures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routine and major decisions), distributions, transferability of interests, financings and guarantees, liquidations and other matters. As a result, presentations of “BXP’s Share” of a financial measure should not be considered a substitute for, and should only be considered together with and as a supplement to, the Company’s financial information presented in accordance with GAAP. Unless noted otherwise, reconciliations of “BXP’s Share” of these financial measures can be found in the Reconciliations section of this Supplemental package starting on page 61.</w:t>
      </w:r>
    </w:p>
    <w:p>
      <w:pPr>
        <w:spacing w:after="0" w:line="28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The Company may also present "BXP's Share" of certain operating metrics, such as occupancy and leased percentages based upon square footage. Amounts are calculated based on our consolidated portfolio square feet, plus our share of the square feet from the unconsolidated joint venture properties (calculated based on our ownership percentage), minus our partners’ share of square feet from our consolidated joint venture properties (calculated based upon the partners’ percentage ownership interests).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Annualized Rental Obligations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Annualized Rental Obligations is defined as monthly Rental Obligations, as of the last day of the reporting period, multiplied by twelve (12).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Economic Occupancy</w:t>
      </w:r>
    </w:p>
    <w:p>
      <w:pPr>
        <w:spacing w:after="0" w:line="29"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Monthly Rental Rates</w:t>
      </w:r>
    </w:p>
    <w:p>
      <w:pPr>
        <w:spacing w:after="0" w:line="29"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color w:val="auto"/>
        </w:rPr>
        <w:t>Average Monthly Rental Rates are calculated by the Company as the average of the quotients obtained by dividing (A) rental revenue as determined in accordance with GAAP by (B) the number of occupied units for each month within the applicable fiscal period.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Physical Occupancy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Average Physical Occupancy is defined as (1) the average number of occupied units divided by (2) the total number of units, expressed as a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to Market Capitalization Ratio</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xml:space="preserve">Consolidated Debt to Consolidated Market Capitalization Ratio </w:t>
      </w:r>
      <w:r>
        <w:rPr>
          <w:rFonts w:ascii="Arial" w:cs="Arial" w:eastAsia="Arial" w:hAnsi="Arial"/>
          <w:sz w:val="14"/>
          <w:szCs w:val="14"/>
          <w:color w:val="auto"/>
        </w:rPr>
        <w:t>is a measure of leverage commonly used by analysts in the REIT sector that equals the quotient of (A)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Company’s Consolidated Debt divided by (B) the Company’s Consolidated Market Capitalization, presented as a percentage. </w:t>
      </w:r>
      <w:r>
        <w:rPr>
          <w:rFonts w:ascii="Arial" w:cs="Arial" w:eastAsia="Arial" w:hAnsi="Arial"/>
          <w:sz w:val="14"/>
          <w:szCs w:val="14"/>
          <w:b w:val="1"/>
          <w:bCs w:val="1"/>
          <w:color w:val="auto"/>
        </w:rPr>
        <w:t>Consolidated Market Capitalization</w:t>
      </w:r>
      <w:r>
        <w:rPr>
          <w:rFonts w:ascii="Arial" w:cs="Arial" w:eastAsia="Arial" w:hAnsi="Arial"/>
          <w:sz w:val="14"/>
          <w:szCs w:val="14"/>
          <w:color w:val="auto"/>
        </w:rPr>
        <w:t xml:space="preserve"> is the sum of (x) the Company’s Consolidated Debt plus (y) the market value of the Company’s outstanding equity securities calculated using the closing price per share of common stock of the Company, as reported by the New York Stock Exchange, multiplied by the sum of (1) outstanding shares of common stock of the Company, (2) outstanding common units of limited partnership interest in Boston Properties Limited Partnership (excluding common units held by the Company), (3) common units issuable upon conversion of all outstanding LTIP Units, assuming all conditions have been met for the conversion of the LTIP Units, (4) common units issuable upon conversion of 2012 OPP Units that were issued in the form of LTIP Units, and (5) common units issuable upon conversion of 2013-2021 MYLTIP Units that were issued in the form of LTIP Units. The calculation of Consolidated Market Capitalization does not include LTIP Units issued in the form of MYLTIP Awards unless and until certain performance thresholds are achieved and they are earned. Because their three-year performance periods have not yet ended, 2022, 2023 and 2024 MYLTIP Units are not included.</w:t>
      </w:r>
    </w:p>
    <w:p>
      <w:pPr>
        <w:spacing w:after="0" w:line="12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 xml:space="preserve">The Company also presents </w:t>
      </w:r>
      <w:r>
        <w:rPr>
          <w:rFonts w:ascii="Arial" w:cs="Arial" w:eastAsia="Arial" w:hAnsi="Arial"/>
          <w:sz w:val="14"/>
          <w:szCs w:val="14"/>
          <w:b w:val="1"/>
          <w:bCs w:val="1"/>
          <w:color w:val="auto"/>
        </w:rPr>
        <w:t>BXP’s Share of Market Capitalization</w:t>
      </w:r>
      <w:r>
        <w:rPr>
          <w:rFonts w:ascii="Arial" w:cs="Arial" w:eastAsia="Arial" w:hAnsi="Arial"/>
          <w:sz w:val="14"/>
          <w:szCs w:val="14"/>
          <w:color w:val="auto"/>
        </w:rPr>
        <w:t>, which is calculated in a similar manner, except that BXP’s Share of Debt is utilized instead of the Company’s Consolidated Debt in both the numerator and the denominator. The Company presents these ratios because its degree of leverage could affect its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the Company, and as such will fluctuate with changes in such price and do not necessarily reflect the Company’s capacity to incur additional debt to finance its activities or its ability to manage its existing debt obligations. However, for a company like BXP, Inc.,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the Company’s outstanding indebtedness.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265" w:right="339" w:bottom="1440" w:gutter="0" w:footer="0" w:header="0"/>
        </w:sectPr>
      </w:pPr>
    </w:p>
    <w:bookmarkStart w:id="65" w:name="page66"/>
    <w:bookmarkEnd w:id="65"/>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Before Interest, Taxes, Depreciation and Amortization for Real Estate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Pursuant to the definition of Earnings Before Interest, Taxes, Depreciation and Amortization for Real Estate adopted by the Board of Governors of the National Association of Real Estate Investment Trusts (“Nareit”), the Company calculates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as net income (loss) attributable to BXP, Inc, the most directly comparable GAAP financial measure, plus net (income) loss attributable to noncontrolling interests, interest expense, losses (gains) from early extinguishments of debt, depreciation and amortization expense, impairment loss and adjustments to reflect the Company’s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less gains (losses) on sales of real estate and sales-type leases.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a non-GAAP financial measure. The Company uses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internally as a performance measure and believes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provides useful information to investors regarding its financial condition and results of operations at the corporate level because, when compared across periods,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reflects the impact on operations from trends in occupancy rates, rental rates, operating costs, general and administrative expenses and acquisition and development activities on an unleveraged basis, providing perspective not immediately apparent from net income (loss) attributable to BXP, Inc.</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 xml:space="preserve">In some cases the Company also presents (A)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which is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of sales type lease receivable, non-cash termination income adjustment (fair value lease amounts) and non-cash gains (losses) from early extinguishment of debt and adding straight-line ground rent expense (excluding prepaid ground rent expense), stock-based compensation expense and lease transaction costs that qualify as rent inducements, and (B) </w:t>
      </w:r>
      <w:r>
        <w:rPr>
          <w:rFonts w:ascii="Arial" w:cs="Arial" w:eastAsia="Arial" w:hAnsi="Arial"/>
          <w:sz w:val="14"/>
          <w:szCs w:val="14"/>
          <w:b w:val="1"/>
          <w:bCs w:val="1"/>
          <w:color w:val="auto"/>
        </w:rPr>
        <w:t>Annualized</w:t>
      </w:r>
      <w:r>
        <w:rPr>
          <w:rFonts w:ascii="Arial" w:cs="Arial" w:eastAsia="Arial" w:hAnsi="Arial"/>
          <w:sz w:val="14"/>
          <w:szCs w:val="14"/>
          <w:color w:val="auto"/>
        </w:rPr>
        <w:t xml:space="preserve"> </w:t>
      </w:r>
      <w:r>
        <w:rPr>
          <w:rFonts w:ascii="Arial" w:cs="Arial" w:eastAsia="Arial" w:hAnsi="Arial"/>
          <w:sz w:val="14"/>
          <w:szCs w:val="14"/>
          <w:b w:val="1"/>
          <w:bCs w:val="1"/>
          <w:color w:val="auto"/>
        </w:rPr>
        <w:t>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which is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applicable fiscal quarter ended multiplied by four (4). Presenting BXP’s Share of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 cash allows investors to compare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across periods without taking into account the effect of certain non-cash rental revenues, ground rent expense and stock based compensation expense. Similar to depreciation and amortization, because of historical cost accounting, fair value lease revenue may distort operating performance measures at the property level. Additionally, presenting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excluding the impact of straight-line rent provides investors with an alternative view of operating performance at the property level that more closely reflects rental revenue generated at the property level without regard to future contractual increases in rental rates. In addition, the Company’s management believes that the presentation of Annualized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provides useful information to investors regarding the Company’s results of operations because it enables investors to more easily compare quarterly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full fiscal years.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Company’s computation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may not be comparable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reported by other REITs or real estate companies that do not define the term in accordance with the current Nareit definition or that interpret the current Nareit definition differently. The Company believes that in order to facilitate a clear understanding of its operating results,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should be examined in conjunction with net income (loss) attributable to BXP, Inc. as presented in the Company’s consolidated financial statements.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should not be considered a substitute to net income (loss) attributable to BXP, Inc. in accordance with GAAP or any other GAAP financial measures and should only be considered together with and as a supplement to the Company’s financial information prepared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Fixed Charge Coverage Ratio</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Fixed Charge Coverage Ratio equals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xml:space="preserve"> divided by </w:t>
      </w:r>
      <w:r>
        <w:rPr>
          <w:rFonts w:ascii="Arial" w:cs="Arial" w:eastAsia="Arial" w:hAnsi="Arial"/>
          <w:sz w:val="14"/>
          <w:szCs w:val="14"/>
          <w:b w:val="1"/>
          <w:bCs w:val="1"/>
          <w:color w:val="auto"/>
        </w:rPr>
        <w:t>Total Fixed Charges</w:t>
      </w:r>
      <w:r>
        <w:rPr>
          <w:rFonts w:ascii="Arial" w:cs="Arial" w:eastAsia="Arial" w:hAnsi="Arial"/>
          <w:sz w:val="14"/>
          <w:szCs w:val="14"/>
          <w:color w:val="auto"/>
        </w:rPr>
        <w:t>.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is a non-GAAP financial measure equal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related to sales type lease receivable, non-cash termination income adjustment (fair value lease amounts) and non-cash gains (losses) from early extinguishment of debt and adding straight-line ground rent expense, stock-based compensation expense and lease transaction costs that qualify as rent inducements. </w:t>
      </w:r>
      <w:r>
        <w:rPr>
          <w:rFonts w:ascii="Arial" w:cs="Arial" w:eastAsia="Arial" w:hAnsi="Arial"/>
          <w:sz w:val="14"/>
          <w:szCs w:val="14"/>
          <w:b w:val="1"/>
          <w:bCs w:val="1"/>
          <w:color w:val="auto"/>
        </w:rPr>
        <w:t>Total Fixed Charges</w:t>
      </w:r>
      <w:r>
        <w:rPr>
          <w:rFonts w:ascii="Arial" w:cs="Arial" w:eastAsia="Arial" w:hAnsi="Arial"/>
          <w:sz w:val="14"/>
          <w:szCs w:val="14"/>
          <w:color w:val="auto"/>
        </w:rPr>
        <w:t xml:space="preserve"> is also a non-GAAP financial measure equal to the sum of BXP’s Share of interest expense, capitalized interest, maintenance capital expenditures, hotel improvements, equipment upgrades and replacements and preferred dividends/distributions less hedge amortization and amortization of financing costs. The Company believes that the presentation of its Fixed Charge Coverage Ratio provides investors with useful information about the Company’s financial performance as it relates to overall financial flexibility and balance sheet management. Furthermore, the Company believes that the Fixed Charge Coverage Ratio is frequently used by analysts, rating agencies and other interested parties in the evaluation of the Company’s performance as a REIT and, as a result, by presenting the Fixed Charge Coverage Ratio the Company assists these parties in their evaluations. The Company’s calculation of its Fixed Charge Coverage Ratio may not be comparable to the ratios reported by other REITs or real estate companies that define the term differently and should only be considered together with and as a supplement to the Company’s financial information prepared in accordance with GAAP. For clarification purposes, this ratio does not include gains (losses) from early extinguishments of debt.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Funds Available for Distribution (FAD) and FAD Payout Ratio</w:t>
      </w:r>
    </w:p>
    <w:p>
      <w:pPr>
        <w:spacing w:after="0" w:line="1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to FFO, which is defined on the following page, the Company presents Funds Available for Distribution to common shareholders and common unitholders (FAD), which is a non-GAAP financial measure that is calculated by (1) adding to FFO lease transaction costs that qualify as rent inducements, non-real estate depreciation and amortization, non-cash losses (gains) from early extinguishments of debt, stock-based compensation expense, partners’ share of consolidated and unconsolidated joint venture 2nd generation tenant improvement and leasing commissions (included in the period in which the lease commences) and unearned portion of capitalized fees, (2) eliminating the effects of straight-line rent, straight-line ground rent expense adjustment (excluding prepaid ground rent expense), hedge amortization, fair value interest adjustment, fair value lease revenue and amortization and accretion related to sales type lease receivable, and (3) subtracting maintenance capital expenditures, hotel improvements, equipment upgrades and replacements, 2nd generation tenant improvement and leasing commissions (included in the period in which the lease commences), non-cash termination income adjustment (fair value lease amounts) and impairments of non-depreciable real estate. The Company believes that the presentation of FAD provides useful information to investors regarding the Company’s results of operations because FAD provides supplemental information regarding the Company’s operating performance that would not otherwise be available and may be useful to investors in assessing the Company’s operating performance. Additionally, although the Company does not consider FAD to be a liquidity measure, as it does not make adjustments to reflect changes in working capital or the actual timing of the payment of income or expense items that are accrued in the period, the Company believes that FAD may provide investors with useful supplemental information regarding the Company’s ability to generate cash from its operating performance and the impact of the Company’s operating performance on its ability to make distributions to its shareholders. Furthermore, the Company believes that FAD is frequently used by analysts, investors and other interested parties in the evaluation of its performance as a REIT and, as a result, by presenting FAD the Company is assisting these parties in their evaluation. FAD should not be considered as a substitute for net income (loss) attributable to BXP, Inc.’s co determined in accordance with GAAP or any other GAAP financial measures and should only be considered together with and as a supplement to the Company’s financial information prepared in accordance with GAAP.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FAD Payout Ratio </w:t>
      </w:r>
      <w:r>
        <w:rPr>
          <w:rFonts w:ascii="Arial" w:cs="Arial" w:eastAsia="Arial" w:hAnsi="Arial"/>
          <w:sz w:val="14"/>
          <w:szCs w:val="14"/>
          <w:color w:val="auto"/>
        </w:rPr>
        <w:t>is defined as distributions to common shareholders and unitholders (excluding any special distributions) divided by FAD.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265" w:right="339" w:bottom="1440" w:gutter="0" w:footer="0" w:header="0"/>
        </w:sectPr>
      </w:pPr>
    </w:p>
    <w:bookmarkStart w:id="66" w:name="page67"/>
    <w:bookmarkEnd w:id="66"/>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Funds from Operations (FFO)</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Pursuant to the revised definition of Funds from Operations adopted by the Board of Governors of Nareit, the Company calculates Funds from Operations, or “FFO,” by adjusting net income (loss) attributable to BXP, Inc. (computed in accordance with GAAP) for gains (or losses) from sales of properties or a change in control, impairment losses on depreciable real estate consolidated on the Company’s balance sheet, impairment losses on its investments in unconsolidated joint ventures driven by a measurable decrease in the fair value of depreciable real estate held by the unconsolidated joint ventures and real estate-related depreciation and amortization. FFO is a non-GAAP financial measure, but the Company believes the presentation of FFO, combined with the presentation of required GAAP financial measures, has improved the understanding of operating results of REITs among the investing public and has helped make comparisons of REIT operating results more meaningful. Management generally considers FFO and FFO per share to be useful measures for understanding and comparing the Company’s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company’s real estate across reporting periods and to the operating performance of other companies.</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The Company’s computation of FFO may not be comparable to FFO reported by other REITs or real estate companies that do not define the term in accordance with the current Nareit definition or that interpret the current Nareit definition differently. In order to facilitate a clear understanding of the Company’s operating results, FFO should be examined in conjunction with net income (loss) attributable to BXP, Inc. as presented in the Company’s consolidated financial statements. FFO should not be considered as a substitute for net income (loss) attributable to BXP, Inc. (determined in accordance with GAAP) or any other GAAP financial measures and should only be considered together with and as a supplement to the Company’s financial information prepared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In-Service Properties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Company treats a property as being “in-service” upon the earlier of (1) lease-up and completion of tenant improvements or (2) one year after cessation of major construction activity as determined under GAAP. The determination as to when an entire property should be treated as “in-service” involves a degree of judgment and is made by management based on the relevant facts and circumstances of the particular property. For portfolio operating and occupancy statistics, the Company specifies a single date for treating a property as “in-service,” which is generally later than the date the property is partially placed in-service under GAAP. Under GAAP, a property may be placed in-service in stages as construction is completed and the property is held available for occupancy. In addition, under GAAP, when a portion of a property has been substantially completed and either occupied or held available for occupancy, the Company ceases capitalizing costs on that portion, even though it may not treat the property as being “in-service,” and continues to capitalize only those costs associated with the portion still under construction. In-service properties include properties held by the Company’s unconsolidated joint ventures. A property will no longer be considered “in-service” when the occupied percentage is below 50% and the Company is no longer actively leasing the property in anticipation of a future development/redevelopment.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Coverage Ratio</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Interest Coverage Ratio, calculated including and excluding capitalized interest, is a non-GAAP financial measure equal to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xml:space="preserve"> divided by Adjusted interest expense.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is a non-GAAP financial measure equal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related to sales type lease receivable, non-cash termination income adjustment (fair value lease amounts) and non-cash gains (losses) from early extinguishment of debt and adding straight-line ground rent expense (excluding prepaid ground rent expense), stock-based compensation expense and lease transaction costs that qualify as rent inducements. Adjusted interest expense excluding capitalized interest is equal to BXP’s Share of interest expense less (1) BXP’s Share of hedge amortization, (2) BXP’s Share of fair value interest adjustment and (3) BXP’s Share of amortization of financing costs. Adjusted interest expense including capitalized interest is calculated in the same manner but adds back BXP’s Share of capitalized interest. The Company believes that the presentation of its Interest Coverage Ratio provides useful information about the Company’s financial condition because it provides investors additional information on the Company’s ability to meet its debt obligations and incur additional indebtedness. In addition, by analyzing interest coverage ratios over a period of time, trends may emerge that provide investors a better sense of whether a company’s financial condition is improving or declining. The ratios may also be used to compare the financial condition of different companies, which can help when making an investment decision. The Company presents its Interest Coverage Ratio in two ways - including capitalized interest and excluding capitalized interest. GAAP requires the capitalization of interest expense during development. Therefore, for a company like BXP, Inc. that is an active developer of real estate, presenting the Interest Coverage Ratio (excluding capitalized interest) provides an alternative measure of financial condition that may be more indicative of the Company’s ability to meet its interest expense obligations and therefore its overall financial condition. For clarification purposes, this ratio does not include gains (losses) from early extinguishments of debt.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Rents</w:t>
      </w:r>
    </w:p>
    <w:p>
      <w:pPr>
        <w:spacing w:after="0" w:line="29" w:lineRule="exact"/>
        <w:rPr>
          <w:sz w:val="20"/>
          <w:szCs w:val="20"/>
          <w:color w:val="auto"/>
        </w:rPr>
      </w:pPr>
    </w:p>
    <w:p>
      <w:pPr>
        <w:jc w:val="both"/>
        <w:ind w:right="340"/>
        <w:spacing w:after="0" w:line="262" w:lineRule="auto"/>
        <w:rPr>
          <w:sz w:val="20"/>
          <w:szCs w:val="20"/>
          <w:color w:val="auto"/>
        </w:rPr>
      </w:pPr>
      <w:r>
        <w:rPr>
          <w:rFonts w:ascii="Arial" w:cs="Arial" w:eastAsia="Arial" w:hAnsi="Arial"/>
          <w:sz w:val="14"/>
          <w:szCs w:val="14"/>
          <w:color w:val="auto"/>
        </w:rPr>
        <w:t>Market Rents used by the Company in calculating Average Economic Occupancy are based on the current market rates set by the managers of the Company’s residential properties based on their experience in renting their residential property’s units and publicly available market data. Trends in market rents for a region as reported by others could therefore vary materially. Market Rents for a period are based on the average Market Rents during that period and do not reflect any impact for cash concessions.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Debt</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 xml:space="preserve">Net Debt is equal to (A) the Company’s consolidated debt plus special dividends payable (if any) less (B) cash and cash equivalents and cash held in escrow for potential Section 1031 like kind exchange(s) (if any). The Company believes that the presentation of Net Debt provides useful information to investors because the Company reviews Net Debt as part of the management of its overall financial flexibility, capital structure and leverage. In particular, Net Debt is an important component of the Company’s ratio of </w:t>
      </w:r>
      <w:r>
        <w:rPr>
          <w:rFonts w:ascii="Arial" w:cs="Arial" w:eastAsia="Arial" w:hAnsi="Arial"/>
          <w:sz w:val="14"/>
          <w:szCs w:val="14"/>
          <w:b w:val="1"/>
          <w:bCs w:val="1"/>
          <w:color w:val="auto"/>
        </w:rPr>
        <w:t>BXP’s Share of Net Debt to BXP’s Share of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BXP’s Share of Net Debt is calculated in a similar manner to Net Debt, except that (1) BXP’s Share of Debt is utilized</w:t>
      </w:r>
      <w:r>
        <w:rPr>
          <w:rFonts w:ascii="Arial" w:cs="Arial" w:eastAsia="Arial" w:hAnsi="Arial"/>
          <w:sz w:val="14"/>
          <w:szCs w:val="14"/>
          <w:b w:val="1"/>
          <w:bCs w:val="1"/>
          <w:color w:val="auto"/>
        </w:rPr>
        <w:t xml:space="preserve"> </w:t>
      </w:r>
      <w:r>
        <w:rPr>
          <w:rFonts w:ascii="Arial" w:cs="Arial" w:eastAsia="Arial" w:hAnsi="Arial"/>
          <w:sz w:val="14"/>
          <w:szCs w:val="14"/>
          <w:color w:val="auto"/>
        </w:rPr>
        <w:t>instead of the Company’s consolidated debt after eliminating BXP’s Share of the related party note receivable and (2) BXP’s Share of cash is utilized instead of consolidated cash. The Company believes 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useful to investors because it provides an alternative measure of the Company’s financial flexibility, capital structure and leverage based on its percentage ownership interest in all of its assets. Furthermore, certain debt rating agencies, creditors and credit analysts monitor the Company’s Net Debt as part of their assessments of its business. The Company may utilize a considerable portion of its cash and cash equivalents at any given time for purposes other than debt reduction. In addition, cash and cash equivalents and cash held in escrow for potential Section 1031 like kind exchange(s) may not be solely controlled by the Company. The deduction of these items from consolidated debt in the calculation of Net Debt therefore should not be understood to mean that these items are available exclusively for debt reduction at any given time.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265" w:right="339" w:bottom="1440" w:gutter="0" w:footer="0" w:header="0"/>
        </w:sectPr>
      </w:pPr>
    </w:p>
    <w:bookmarkStart w:id="67" w:name="page68"/>
    <w:bookmarkEnd w:id="67"/>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Operating Income/(Loss) (NOI)</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Net operating income (NOI) is a non-GAAP financial measure equal to net income (loss) attributable to BXP, Inc., the most directly comparable GAAP financial measure, plus (1) net (income) loss attributable to noncontrolling interests, corporate general and administrative expense, payroll and related costs from management services contracts, transaction costs, depreciation and amortization expense, loss from unconsolidated joint ventures, and interest expense, less (2) development and management services revenue, direct reimbursements of payroll and related costs from management services contracts, gains (losses) on sales of real estate, gains (losses) from investments in securities, unrealized gain (loss) on non-real estate investment, and interest and other income (loss). In some cases, the Company also presents (1) </w:t>
      </w:r>
      <w:r>
        <w:rPr>
          <w:rFonts w:ascii="Arial" w:cs="Arial" w:eastAsia="Arial" w:hAnsi="Arial"/>
          <w:sz w:val="14"/>
          <w:szCs w:val="14"/>
          <w:b w:val="1"/>
          <w:bCs w:val="1"/>
          <w:color w:val="auto"/>
        </w:rPr>
        <w:t>NOI – cash</w:t>
      </w:r>
      <w:r>
        <w:rPr>
          <w:rFonts w:ascii="Arial" w:cs="Arial" w:eastAsia="Arial" w:hAnsi="Arial"/>
          <w:sz w:val="14"/>
          <w:szCs w:val="14"/>
          <w:color w:val="auto"/>
        </w:rPr>
        <w:t xml:space="preserve">, which is NOI after eliminating the effects of straight-line rent (excluding the impact related to deferred revenue related to improvements to long-lived assets paid for by a client), fair value lease revenue, amortization and accretion related to sales type lease, straight-line ground rent expense adjustment (excluding prepaid ground rent), prepaid ground rent expense and lease transaction costs that qualify as rent inducements in accordance with GAAP, and (2) </w:t>
      </w:r>
      <w:r>
        <w:rPr>
          <w:rFonts w:ascii="Arial" w:cs="Arial" w:eastAsia="Arial" w:hAnsi="Arial"/>
          <w:sz w:val="14"/>
          <w:szCs w:val="14"/>
          <w:b w:val="1"/>
          <w:bCs w:val="1"/>
          <w:color w:val="auto"/>
        </w:rPr>
        <w:t>NOI and NOI – cash, in each case excluding termination income</w:t>
      </w:r>
      <w:r>
        <w:rPr>
          <w:rFonts w:ascii="Arial" w:cs="Arial" w:eastAsia="Arial" w:hAnsi="Arial"/>
          <w:sz w:val="14"/>
          <w:szCs w:val="14"/>
          <w:color w:val="auto"/>
        </w:rPr>
        <w:t>.</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The Company uses these measures internally as performance measures and believes they provide useful information to investors regarding the Company’s results of operations and financial condition because, when compared across periods, they reflect the impact on operations from trends in occupancy rates, rental rates, operating costs and acquisition and development activity on an unleveraged basis, providing perspective not immediately apparent from net income.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Presenting NOI – cash allows investors to compare NOI performance across periods without taking into account the effect of certain non-cash rental revenues, amortization and accretion related to sales type lease receivable and ground rent expenses. Similar to depreciation and amortization expense, fair value lease revenues, because of historical cost accounting, may distort operating performance measures at the property level. Additionally, presenting NOI excluding the impact of the straight-lining of rent and amortization and accretion related to sale type lease receivable provides investors with an alternative view of operating performance at the property level that more closely reflects net cash generated at the property level on an unleveraged basis. Presenting NOI measures that exclude termination income provides investors with additional information regarding operating performance at a property level that allows them to compare operating performance between periods without taking into account termination income, which can distort the results for any given period because they generally represent multiple months or years of a client’s rental obligations that are paid in a lump sum in connection with a negotiated early termination of the client’s lease and are not reflective of the core ongoing operating performance of the Company’s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Obligations</w:t>
      </w:r>
    </w:p>
    <w:p>
      <w:pPr>
        <w:spacing w:after="0" w:line="29"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Rental Obligations is defined as the contractual base rents (but excluding percentage rent) and budgeted reimbursements from clients under existing leases. These amounts exclude rent abatements.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Revenue</w:t>
      </w:r>
    </w:p>
    <w:p>
      <w:pPr>
        <w:spacing w:after="0" w:line="1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Rental Revenue is equal to Total revenue, the most directly comparable GAAP financial measure, less development and management services revenue and direct reimbursements of payroll and related costs from management services contracts. The Company uses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 The Company also presents </w:t>
      </w:r>
      <w:r>
        <w:rPr>
          <w:rFonts w:ascii="Arial" w:cs="Arial" w:eastAsia="Arial" w:hAnsi="Arial"/>
          <w:sz w:val="14"/>
          <w:szCs w:val="14"/>
          <w:b w:val="1"/>
          <w:bCs w:val="1"/>
          <w:color w:val="auto"/>
        </w:rPr>
        <w:t>Rental Revenue (excluding termination income)</w:t>
      </w:r>
      <w:r>
        <w:rPr>
          <w:rFonts w:ascii="Arial" w:cs="Arial" w:eastAsia="Arial" w:hAnsi="Arial"/>
          <w:sz w:val="14"/>
          <w:szCs w:val="14"/>
          <w:color w:val="auto"/>
        </w:rPr>
        <w:t xml:space="preserve"> because termination income can distort the results for any given period because it generally represents multiple months or years of a client’s rental obligations that are paid in a lump sum in connection with a negotiated early termination of the client’s lease and does not reflect the core ongoing operating performance of the Company’s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Same Properties</w:t>
      </w:r>
    </w:p>
    <w:p>
      <w:pPr>
        <w:spacing w:after="0" w:line="2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Company’s analysis of NOI, particularly to make comparisons of NOI between periods meaningful, it is important to provide information for properties that were in-service and owned by the Company throughout each period presented. The Company refers to properties acquired or placed in-service prior to the beginning of the earliest period presented and owned by the Company through the end of the latest period presented as “Same Properties.” “Same Properties” therefore exclude properties placed in-service, acquired, repositioned or in or held for development or redevelopment after the beginning of the earliest period presented or disposed of prior to the end of the latest period presented. Accordingly, it takes at least one year and one quarter after a property is acquired or treated as “in-service” for that property to be included in “Same Properties.” Pages 22 - 25 indicate by footnote the “In-Service Properties” that are not included in “Same Properties.”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26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Q3 2024</w:t>
            </w:r>
          </w:p>
        </w:tc>
      </w:tr>
      <w:tr>
        <w:trPr>
          <w:trHeight w:val="245"/>
        </w:trPr>
        <w:tc>
          <w:tcPr>
            <w:tcW w:w="7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Reconciliations</w:t>
            </w:r>
          </w:p>
        </w:tc>
      </w:tr>
      <w:tr>
        <w:trPr>
          <w:trHeight w:val="599"/>
        </w:trPr>
        <w:tc>
          <w:tcPr>
            <w:tcW w:w="7960" w:type="dxa"/>
            <w:vAlign w:val="bottom"/>
          </w:tcPr>
          <w:p>
            <w:pPr>
              <w:spacing w:after="0"/>
              <w:rPr>
                <w:sz w:val="20"/>
                <w:szCs w:val="20"/>
                <w:color w:val="auto"/>
              </w:rPr>
            </w:pPr>
            <w:r>
              <w:rPr>
                <w:rFonts w:ascii="Arial" w:cs="Arial" w:eastAsia="Arial" w:hAnsi="Arial"/>
                <w:sz w:val="14"/>
                <w:szCs w:val="14"/>
                <w:color w:val="auto"/>
              </w:rPr>
              <w:t>(unaudited and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BXP’s Share of select items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2"/>
        </w:trPr>
        <w:tc>
          <w:tcPr>
            <w:tcW w:w="7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30-Sep-24</w:t>
            </w:r>
          </w:p>
        </w:tc>
        <w:tc>
          <w:tcPr>
            <w:tcW w:w="260" w:type="dxa"/>
            <w:vAlign w:val="bottom"/>
          </w:tcPr>
          <w:p>
            <w:pPr>
              <w:spacing w:after="0"/>
              <w:rPr>
                <w:sz w:val="16"/>
                <w:szCs w:val="16"/>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30-Jun-24</w:t>
            </w: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859,227</w:t>
            </w:r>
          </w:p>
        </w:tc>
        <w:tc>
          <w:tcPr>
            <w:tcW w:w="28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850,482</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revenue from consolidated joint ventures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(79,196)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(81,219)</w:t>
            </w:r>
          </w:p>
        </w:tc>
      </w:tr>
      <w:tr>
        <w:trPr>
          <w:trHeight w:val="20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revenue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55,067</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51,527</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835,098</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820,790</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Straight-line 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29,578</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16,094</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straight-line rent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(5,544)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(2,549)</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straight-line rent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straight-line 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25,433</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16,783</w:t>
            </w:r>
          </w:p>
        </w:tc>
      </w:tr>
      <w:tr>
        <w:trPr>
          <w:trHeight w:val="428"/>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Fair value lease revenue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1,298</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1,363</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Partners’ share of fair value lease revenue from consolidated JVs </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fair value lease revenue from unconsolidated JVs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w:t>
            </w:r>
          </w:p>
        </w:tc>
      </w:tr>
      <w:tr>
        <w:trPr>
          <w:trHeight w:val="245"/>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2,294</w:t>
            </w:r>
          </w:p>
        </w:tc>
        <w:tc>
          <w:tcPr>
            <w:tcW w:w="28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2,361</w:t>
            </w:r>
          </w:p>
        </w:tc>
      </w:tr>
      <w:tr>
        <w:trPr>
          <w:trHeight w:val="361"/>
        </w:trPr>
        <w:tc>
          <w:tcPr>
            <w:tcW w:w="7960" w:type="dxa"/>
            <w:vAlign w:val="bottom"/>
          </w:tcPr>
          <w:p>
            <w:pPr>
              <w:ind w:left="20"/>
              <w:spacing w:after="0"/>
              <w:rPr>
                <w:sz w:val="20"/>
                <w:szCs w:val="20"/>
                <w:color w:val="auto"/>
              </w:rPr>
            </w:pPr>
            <w:r>
              <w:rPr>
                <w:rFonts w:ascii="Arial" w:cs="Arial" w:eastAsia="Arial" w:hAnsi="Arial"/>
                <w:sz w:val="14"/>
                <w:szCs w:val="14"/>
                <w:color w:val="auto"/>
              </w:rPr>
              <w:t>Lease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12,120</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841</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termination income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termination income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12,179</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801</w:t>
            </w:r>
          </w:p>
        </w:tc>
      </w:tr>
      <w:tr>
        <w:trPr>
          <w:trHeight w:val="405"/>
        </w:trPr>
        <w:tc>
          <w:tcPr>
            <w:tcW w:w="7960" w:type="dxa"/>
            <w:vAlign w:val="bottom"/>
          </w:tcPr>
          <w:p>
            <w:pPr>
              <w:ind w:left="20"/>
              <w:spacing w:after="0"/>
              <w:rPr>
                <w:sz w:val="20"/>
                <w:szCs w:val="20"/>
                <w:color w:val="auto"/>
              </w:rPr>
            </w:pPr>
            <w:r>
              <w:rPr>
                <w:rFonts w:ascii="Arial" w:cs="Arial" w:eastAsia="Arial" w:hAnsi="Arial"/>
                <w:sz w:val="14"/>
                <w:szCs w:val="14"/>
                <w:color w:val="auto"/>
              </w:rPr>
              <w:t>Non-cash termination income adjustment (fair value lease amounts)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non-cash termination income adjustment (fair value lease amounts) from consolidated JVs</w:t>
            </w:r>
          </w:p>
        </w:tc>
        <w:tc>
          <w:tcPr>
            <w:tcW w:w="26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non-cash termination income adjustment (fair value lease amounts) from unconsolidated JVs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non-cash termination income adjustment (fair value lease amounts)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9"/>
        </w:trPr>
        <w:tc>
          <w:tcPr>
            <w:tcW w:w="7960" w:type="dxa"/>
            <w:vAlign w:val="bottom"/>
          </w:tcPr>
          <w:p>
            <w:pPr>
              <w:ind w:left="20"/>
              <w:spacing w:after="0"/>
              <w:rPr>
                <w:sz w:val="20"/>
                <w:szCs w:val="20"/>
                <w:color w:val="auto"/>
              </w:rPr>
            </w:pPr>
            <w:r>
              <w:rPr>
                <w:rFonts w:ascii="Arial" w:cs="Arial" w:eastAsia="Arial" w:hAnsi="Arial"/>
                <w:sz w:val="14"/>
                <w:szCs w:val="14"/>
                <w:color w:val="auto"/>
              </w:rPr>
              <w:t>Parking and other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34,255</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33,890</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parking and other revenue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(909)</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parking and other revenue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parking and other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35,746</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34,740</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Hedge amortization, net of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1,590</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1,590</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hedge amortization, net of costs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hedge amortization, net of costs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hedge amortization, net of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1,949</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2,030</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Straight-line ground rent expense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541</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straight-line ground rent expense adjustment from consolidated JVs</w:t>
            </w:r>
          </w:p>
        </w:tc>
        <w:tc>
          <w:tcPr>
            <w:tcW w:w="26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straight-line ground rent expense adjustment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straight-line ground rent expense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679</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728</w:t>
            </w:r>
          </w:p>
        </w:tc>
      </w:tr>
      <w:tr>
        <w:trPr>
          <w:trHeight w:val="419"/>
        </w:trPr>
        <w:tc>
          <w:tcPr>
            <w:tcW w:w="7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222,890</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219,542</w:t>
            </w:r>
          </w:p>
        </w:tc>
      </w:tr>
      <w:tr>
        <w:trPr>
          <w:trHeight w:val="202"/>
        </w:trPr>
        <w:tc>
          <w:tcPr>
            <w:tcW w:w="7960" w:type="dxa"/>
            <w:vAlign w:val="bottom"/>
          </w:tcPr>
          <w:p>
            <w:pPr>
              <w:ind w:left="2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(18,857)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(19,203)</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depreciation and amortization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20,757</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19,827</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224,790</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220,166</w:t>
            </w:r>
          </w:p>
        </w:tc>
      </w:tr>
      <w:tr>
        <w:trPr>
          <w:trHeight w:val="428"/>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4,983</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3,471</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Partners’ share of lease transaction costs that qualify as rent inducements from consolidated JVs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lease transaction costs that qualify as rent inducements from unconsolidated JVs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5"/>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5,070</w:t>
            </w:r>
          </w:p>
        </w:tc>
        <w:tc>
          <w:tcPr>
            <w:tcW w:w="28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3,216</w:t>
            </w:r>
          </w:p>
        </w:tc>
      </w:tr>
      <w:tr>
        <w:trPr>
          <w:trHeight w:val="361"/>
        </w:trPr>
        <w:tc>
          <w:tcPr>
            <w:tcW w:w="7960" w:type="dxa"/>
            <w:vAlign w:val="bottom"/>
          </w:tcPr>
          <w:p>
            <w:pPr>
              <w:ind w:left="20"/>
              <w:spacing w:after="0"/>
              <w:rPr>
                <w:sz w:val="20"/>
                <w:szCs w:val="20"/>
                <w:color w:val="auto"/>
              </w:rPr>
            </w:pPr>
            <w:r>
              <w:rPr>
                <w:rFonts w:ascii="Arial" w:cs="Arial" w:eastAsia="Arial" w:hAnsi="Arial"/>
                <w:sz w:val="14"/>
                <w:szCs w:val="14"/>
                <w:color w:val="auto"/>
              </w:rPr>
              <w:t>2nd generation tenant improvements and leasing commissions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88,099</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38,126</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2nd generation tenant improvements and leasing commissions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(18,202)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(5,712)</w:t>
            </w:r>
          </w:p>
        </w:tc>
      </w:tr>
      <w:tr>
        <w:trPr>
          <w:trHeight w:val="20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2nd generation tenant improvements and leasing commissions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2nd generation tenant improvements and leasing commissions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70,457</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-8292465</wp:posOffset>
            </wp:positionV>
            <wp:extent cx="25717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265" w:right="339" w:bottom="1440" w:gutter="0" w:footer="0" w:header="0"/>
          <w:type w:val="continuous"/>
        </w:sectPr>
      </w:pPr>
    </w:p>
    <w:bookmarkStart w:id="69" w:name="page70"/>
    <w:bookmarkEnd w:id="69"/>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21,481</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16,218</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Partners’ share of maintenance capital expenditures from consolidated JVs </w:t>
            </w:r>
            <w:r>
              <w:rPr>
                <w:rFonts w:ascii="Arial" w:cs="Arial" w:eastAsia="Arial" w:hAnsi="Arial"/>
                <w:sz w:val="18"/>
                <w:szCs w:val="18"/>
                <w:color w:val="auto"/>
                <w:vertAlign w:val="superscript"/>
              </w:rPr>
              <w:t>3</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(3,327)</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(1,821)</w:t>
            </w:r>
          </w:p>
        </w:tc>
      </w:tr>
      <w:tr>
        <w:trPr>
          <w:trHeight w:val="201"/>
        </w:trPr>
        <w:tc>
          <w:tcPr>
            <w:tcW w:w="702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maintenance capital expenditures from unconsolidated JVs </w:t>
            </w:r>
            <w:r>
              <w:rPr>
                <w:rFonts w:ascii="Arial" w:cs="Arial" w:eastAsia="Arial" w:hAnsi="Arial"/>
                <w:sz w:val="18"/>
                <w:szCs w:val="18"/>
                <w:color w:val="auto"/>
                <w:vertAlign w:val="superscript"/>
              </w:rPr>
              <w:t>3</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245"/>
        </w:trPr>
        <w:tc>
          <w:tcPr>
            <w:tcW w:w="7020" w:type="dxa"/>
            <w:vAlign w:val="bottom"/>
          </w:tcPr>
          <w:p>
            <w:pPr>
              <w:ind w:left="2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18"/>
                <w:szCs w:val="18"/>
                <w:color w:val="auto"/>
                <w:vertAlign w:val="superscript"/>
              </w:rPr>
              <w:t>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18,220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14,491</w:t>
            </w:r>
          </w:p>
        </w:tc>
      </w:tr>
      <w:tr>
        <w:trPr>
          <w:trHeight w:val="361"/>
        </w:trPr>
        <w:tc>
          <w:tcPr>
            <w:tcW w:w="70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163,194</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149,642</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interest expense from consolidated JVs</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(12,005)</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(11,882)</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interest expense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19,335</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18,651</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interest expense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170,524</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156,411</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Capitalized interest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11,625</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10,336</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capitalized interest from consolidated JVs</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capitalized interest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3,304</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3,463</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capitalized interest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14,897</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13,767</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Amortization of financing costs</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4,820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5,073</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amortization of financing costs from consolidated JVs</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(498)</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amortization of financing costs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438</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amortization of financing costs</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4,760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4,950</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Fair value interest adjustment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4,224</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4,206</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fair value of interest adjustment from consolidated JVs</w:t>
            </w:r>
          </w:p>
        </w:tc>
        <w:tc>
          <w:tcPr>
            <w:tcW w:w="14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off fair value interest adjustment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fair value interest adjustment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4,723</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4,705</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Amortization and accretion related to sales type lease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250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amortization and accretion related to sales type lease from consolidated JVs</w:t>
            </w:r>
          </w:p>
        </w:tc>
        <w:tc>
          <w:tcPr>
            <w:tcW w:w="14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off amortization and accretion related to sales type lease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amortization and accretion related to sales type lease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278</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80" w:hanging="72"/>
        <w:spacing w:after="0"/>
        <w:tabs>
          <w:tab w:leader="none" w:pos="80" w:val="left"/>
        </w:tabs>
        <w:numPr>
          <w:ilvl w:val="0"/>
          <w:numId w:val="118"/>
        </w:numPr>
        <w:rPr>
          <w:rFonts w:ascii="Arial" w:cs="Arial" w:eastAsia="Arial" w:hAnsi="Arial"/>
          <w:sz w:val="9"/>
          <w:szCs w:val="9"/>
          <w:color w:val="auto"/>
        </w:rPr>
      </w:pPr>
      <w:r>
        <w:rPr>
          <w:rFonts w:ascii="Arial" w:cs="Arial" w:eastAsia="Arial" w:hAnsi="Arial"/>
          <w:sz w:val="14"/>
          <w:szCs w:val="14"/>
          <w:color w:val="auto"/>
        </w:rPr>
        <w:t>Represents the net adjustment for above- and below-market leases that are being amortized over the terms of the respective leases in place at the property acquisition dates.</w:t>
      </w:r>
    </w:p>
    <w:p>
      <w:pPr>
        <w:spacing w:after="0" w:line="55" w:lineRule="exact"/>
        <w:rPr>
          <w:sz w:val="20"/>
          <w:szCs w:val="20"/>
          <w:color w:val="auto"/>
        </w:rPr>
      </w:pPr>
    </w:p>
    <w:p>
      <w:pPr>
        <w:ind w:left="80" w:right="580" w:hanging="72"/>
        <w:spacing w:after="0" w:line="238" w:lineRule="auto"/>
        <w:tabs>
          <w:tab w:leader="none" w:pos="78" w:val="left"/>
        </w:tabs>
        <w:numPr>
          <w:ilvl w:val="0"/>
          <w:numId w:val="119"/>
        </w:numPr>
        <w:rPr>
          <w:rFonts w:ascii="Arial" w:cs="Arial" w:eastAsia="Arial" w:hAnsi="Arial"/>
          <w:sz w:val="18"/>
          <w:szCs w:val="18"/>
          <w:color w:val="auto"/>
          <w:vertAlign w:val="superscript"/>
        </w:rPr>
      </w:pPr>
      <w:r>
        <w:rPr>
          <w:rFonts w:ascii="Arial" w:cs="Arial" w:eastAsia="Arial" w:hAnsi="Arial"/>
          <w:sz w:val="14"/>
          <w:szCs w:val="14"/>
          <w:color w:val="auto"/>
        </w:rPr>
        <w:t>Consists of lease transaction costs that qualify as rent inducements in accordance with GAAP. Lease transaction costs are generally included in 2nd generation tenant improvements and leasing commissions in the period the lease commences.</w:t>
      </w:r>
    </w:p>
    <w:p>
      <w:pPr>
        <w:ind w:left="80" w:hanging="72"/>
        <w:spacing w:after="0" w:line="223" w:lineRule="auto"/>
        <w:tabs>
          <w:tab w:leader="none" w:pos="8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Maintenance capital expenditures do not include planned capital expenditures related to acquisitions and repositioning capital expenditures.</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40"/>
          </w:cols>
          <w:pgMar w:left="320" w:top="265" w:right="339" w:bottom="1440" w:gutter="0" w:footer="0" w:header="0"/>
        </w:sectPr>
      </w:pPr>
    </w:p>
    <w:bookmarkStart w:id="70" w:name="page71"/>
    <w:bookmarkEnd w:id="70"/>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767 Fifth Avenue</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233"/>
              <w:spacing w:after="0"/>
              <w:rPr>
                <w:sz w:val="20"/>
                <w:szCs w:val="20"/>
                <w:color w:val="auto"/>
              </w:rPr>
            </w:pPr>
            <w:r>
              <w:rPr>
                <w:rFonts w:ascii="Arial" w:cs="Arial" w:eastAsia="Arial" w:hAnsi="Arial"/>
                <w:sz w:val="13"/>
                <w:szCs w:val="13"/>
                <w:b w:val="1"/>
                <w:bCs w:val="1"/>
                <w:color w:val="auto"/>
              </w:rPr>
              <w:t>Total Consolidated</w:t>
            </w:r>
          </w:p>
        </w:tc>
      </w:tr>
      <w:tr>
        <w:trPr>
          <w:trHeight w:val="183"/>
        </w:trPr>
        <w:tc>
          <w:tcPr>
            <w:tcW w:w="5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8"/>
              </w:rPr>
              <w:t>(The GM Building)</w:t>
            </w: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 xml:space="preserve">Norges Joint Ventures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Joint Ventures</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2"/>
        </w:trPr>
        <w:tc>
          <w:tcPr>
            <w:tcW w:w="5800" w:type="dxa"/>
            <w:vAlign w:val="bottom"/>
          </w:tcPr>
          <w:p>
            <w:pPr>
              <w:ind w:left="220"/>
              <w:spacing w:after="0"/>
              <w:rPr>
                <w:sz w:val="20"/>
                <w:szCs w:val="20"/>
                <w:color w:val="auto"/>
              </w:rPr>
            </w:pPr>
            <w:r>
              <w:rPr>
                <w:rFonts w:ascii="Arial" w:cs="Arial" w:eastAsia="Arial" w:hAnsi="Arial"/>
                <w:sz w:val="13"/>
                <w:szCs w:val="13"/>
                <w:color w:val="auto"/>
              </w:rPr>
              <w:t xml:space="preserve">Lease </w:t>
            </w:r>
            <w:r>
              <w:rPr>
                <w:rFonts w:ascii="Arial" w:cs="Arial" w:eastAsia="Arial" w:hAnsi="Arial"/>
                <w:sz w:val="17"/>
                <w:szCs w:val="17"/>
                <w:color w:val="auto"/>
                <w:vertAlign w:val="superscript"/>
              </w:rPr>
              <w:t>2</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76,554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93,576</w:t>
            </w:r>
          </w:p>
        </w:tc>
        <w:tc>
          <w:tcPr>
            <w:tcW w:w="16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170,130</w:t>
            </w:r>
          </w:p>
        </w:tc>
      </w:tr>
      <w:tr>
        <w:trPr>
          <w:trHeight w:val="176"/>
        </w:trPr>
        <w:tc>
          <w:tcPr>
            <w:tcW w:w="5800" w:type="dxa"/>
            <w:vAlign w:val="bottom"/>
          </w:tcPr>
          <w:p>
            <w:pPr>
              <w:ind w:left="220"/>
              <w:spacing w:after="0"/>
              <w:rPr>
                <w:sz w:val="20"/>
                <w:szCs w:val="20"/>
                <w:color w:val="auto"/>
              </w:rPr>
            </w:pPr>
            <w:r>
              <w:rPr>
                <w:rFonts w:ascii="Arial" w:cs="Arial" w:eastAsia="Arial" w:hAnsi="Arial"/>
                <w:sz w:val="13"/>
                <w:szCs w:val="13"/>
                <w:color w:val="auto"/>
              </w:rPr>
              <w:t>Straight-line rent</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5,265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7,641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12,906</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Fair value lease revenue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4"/>
        </w:trPr>
        <w:tc>
          <w:tcPr>
            <w:tcW w:w="5800" w:type="dxa"/>
            <w:vAlign w:val="bottom"/>
          </w:tcPr>
          <w:p>
            <w:pPr>
              <w:ind w:left="220"/>
              <w:spacing w:after="0"/>
              <w:rPr>
                <w:sz w:val="20"/>
                <w:szCs w:val="20"/>
                <w:color w:val="auto"/>
              </w:rPr>
            </w:pPr>
            <w:r>
              <w:rPr>
                <w:rFonts w:ascii="Arial" w:cs="Arial" w:eastAsia="Arial" w:hAnsi="Arial"/>
                <w:sz w:val="13"/>
                <w:szCs w:val="13"/>
                <w:color w:val="auto"/>
              </w:rPr>
              <w:t>Termination income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77"/>
        </w:trPr>
        <w:tc>
          <w:tcPr>
            <w:tcW w:w="5800" w:type="dxa"/>
            <w:vAlign w:val="bottom"/>
          </w:tcPr>
          <w:p>
            <w:pPr>
              <w:ind w:left="480"/>
              <w:spacing w:after="0"/>
              <w:rPr>
                <w:sz w:val="20"/>
                <w:szCs w:val="20"/>
                <w:color w:val="auto"/>
              </w:rPr>
            </w:pPr>
            <w:r>
              <w:rPr>
                <w:rFonts w:ascii="Arial" w:cs="Arial" w:eastAsia="Arial" w:hAnsi="Arial"/>
                <w:sz w:val="13"/>
                <w:szCs w:val="13"/>
                <w:color w:val="auto"/>
              </w:rPr>
              <w:t>Total lease revenue</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81,838</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101,217</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183,055</w:t>
            </w: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Parking and other</w:t>
            </w: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1,414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1,414</w:t>
            </w:r>
          </w:p>
        </w:tc>
      </w:tr>
      <w:tr>
        <w:trPr>
          <w:trHeight w:val="190"/>
        </w:trPr>
        <w:tc>
          <w:tcPr>
            <w:tcW w:w="5800" w:type="dxa"/>
            <w:vAlign w:val="bottom"/>
          </w:tcPr>
          <w:p>
            <w:pPr>
              <w:ind w:left="480"/>
              <w:spacing w:after="0" w:line="190" w:lineRule="exact"/>
              <w:rPr>
                <w:sz w:val="20"/>
                <w:szCs w:val="20"/>
                <w:color w:val="auto"/>
              </w:rPr>
            </w:pPr>
            <w:r>
              <w:rPr>
                <w:rFonts w:ascii="Arial" w:cs="Arial" w:eastAsia="Arial" w:hAnsi="Arial"/>
                <w:sz w:val="13"/>
                <w:szCs w:val="13"/>
                <w:color w:val="auto"/>
              </w:rPr>
              <w:t xml:space="preserve">Total rental revenue </w:t>
            </w:r>
            <w:r>
              <w:rPr>
                <w:rFonts w:ascii="Arial" w:cs="Arial" w:eastAsia="Arial" w:hAnsi="Arial"/>
                <w:sz w:val="17"/>
                <w:szCs w:val="17"/>
                <w:color w:val="auto"/>
                <w:vertAlign w:val="superscript"/>
              </w:rPr>
              <w:t>3</w:t>
            </w: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81,838</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102,631</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184,469</w:t>
            </w:r>
          </w:p>
        </w:tc>
      </w:tr>
      <w:tr>
        <w:trPr>
          <w:trHeight w:val="176"/>
        </w:trPr>
        <w:tc>
          <w:tcPr>
            <w:tcW w:w="5800" w:type="dxa"/>
            <w:vAlign w:val="bottom"/>
          </w:tcPr>
          <w:p>
            <w:pPr>
              <w:ind w:left="20"/>
              <w:spacing w:after="0"/>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Operating</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33,970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42,791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76,761</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Net Operating Income (NOI)</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47,868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59,840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107,708</w:t>
            </w:r>
          </w:p>
        </w:tc>
      </w:tr>
      <w:tr>
        <w:trPr>
          <w:trHeight w:val="366"/>
        </w:trPr>
        <w:tc>
          <w:tcPr>
            <w:tcW w:w="580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Development and management services revenue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616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617</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Losses from investments in securities</w:t>
            </w: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Interest and other income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2,364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3,607</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(21,395)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(7,668)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(29,063)</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Depreciation and amortization expense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(17,469)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(24,856)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(42,325)</w:t>
            </w:r>
          </w:p>
        </w:tc>
      </w:tr>
      <w:tr>
        <w:trPr>
          <w:trHeight w:val="207"/>
        </w:trPr>
        <w:tc>
          <w:tcPr>
            <w:tcW w:w="5800" w:type="dxa"/>
            <w:vAlign w:val="bottom"/>
          </w:tcPr>
          <w:p>
            <w:pPr>
              <w:ind w:left="220"/>
              <w:spacing w:after="0"/>
              <w:rPr>
                <w:sz w:val="20"/>
                <w:szCs w:val="20"/>
                <w:color w:val="auto"/>
              </w:rPr>
            </w:pPr>
            <w:r>
              <w:rPr>
                <w:rFonts w:ascii="Arial" w:cs="Arial" w:eastAsia="Arial" w:hAnsi="Arial"/>
                <w:sz w:val="13"/>
                <w:szCs w:val="13"/>
                <w:color w:val="auto"/>
              </w:rPr>
              <w:t>Transaction costs</w:t>
            </w:r>
          </w:p>
        </w:tc>
        <w:tc>
          <w:tcPr>
            <w:tcW w:w="200" w:type="dxa"/>
            <w:vAlign w:val="bottom"/>
          </w:tcPr>
          <w:p>
            <w:pPr>
              <w:spacing w:after="0"/>
              <w:rPr>
                <w:sz w:val="17"/>
                <w:szCs w:val="17"/>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91"/>
        </w:trPr>
        <w:tc>
          <w:tcPr>
            <w:tcW w:w="5800" w:type="dxa"/>
            <w:vAlign w:val="bottom"/>
          </w:tcPr>
          <w:p>
            <w:pPr>
              <w:ind w:left="2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w:t>
            </w:r>
          </w:p>
        </w:tc>
      </w:tr>
      <w:tr>
        <w:trPr>
          <w:trHeight w:val="183"/>
        </w:trPr>
        <w:tc>
          <w:tcPr>
            <w:tcW w:w="5800" w:type="dxa"/>
            <w:vAlign w:val="bottom"/>
          </w:tcPr>
          <w:p>
            <w:pPr>
              <w:ind w:left="480"/>
              <w:spacing w:after="0"/>
              <w:rPr>
                <w:sz w:val="20"/>
                <w:szCs w:val="20"/>
                <w:color w:val="auto"/>
              </w:rPr>
            </w:pPr>
            <w:r>
              <w:rPr>
                <w:rFonts w:ascii="Arial" w:cs="Arial" w:eastAsia="Arial" w:hAnsi="Arial"/>
                <w:sz w:val="13"/>
                <w:szCs w:val="13"/>
                <w:color w:val="auto"/>
              </w:rPr>
              <w:t>Total other income (expense)</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(37,908)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(29,706)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(67,614)</w:t>
            </w:r>
          </w:p>
        </w:tc>
      </w:tr>
      <w:tr>
        <w:trPr>
          <w:trHeight w:val="188"/>
        </w:trPr>
        <w:tc>
          <w:tcPr>
            <w:tcW w:w="5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9,960</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30,134</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40,094</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20"/>
        </w:trPr>
        <w:tc>
          <w:tcPr>
            <w:tcW w:w="5800" w:type="dxa"/>
            <w:vAlign w:val="bottom"/>
          </w:tcPr>
          <w:p>
            <w:pPr>
              <w:ind w:left="20"/>
              <w:spacing w:after="0"/>
              <w:rPr>
                <w:sz w:val="20"/>
                <w:szCs w:val="20"/>
                <w:color w:val="auto"/>
              </w:rPr>
            </w:pPr>
            <w:r>
              <w:rPr>
                <w:rFonts w:ascii="Arial" w:cs="Arial" w:eastAsia="Arial" w:hAnsi="Arial"/>
                <w:sz w:val="13"/>
                <w:szCs w:val="13"/>
                <w:color w:val="auto"/>
              </w:rPr>
              <w:t>BXP’s nominal ownership percentage</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color w:val="auto"/>
              </w:rPr>
              <w:t>60.00%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color w:val="auto"/>
              </w:rPr>
              <w:t>55.00%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5800" w:type="dxa"/>
            <w:vAlign w:val="bottom"/>
          </w:tcPr>
          <w:p>
            <w:pPr>
              <w:ind w:left="20"/>
              <w:spacing w:after="0"/>
              <w:rPr>
                <w:sz w:val="20"/>
                <w:szCs w:val="20"/>
                <w:color w:val="auto"/>
              </w:rPr>
            </w:pPr>
            <w:r>
              <w:rPr>
                <w:rFonts w:ascii="Arial" w:cs="Arial" w:eastAsia="Arial" w:hAnsi="Arial"/>
                <w:sz w:val="13"/>
                <w:szCs w:val="13"/>
                <w:color w:val="auto"/>
              </w:rPr>
              <w:t xml:space="preserve">Partners’ share of NOI (after income allocation to private REIT shareholders) </w:t>
            </w:r>
            <w:r>
              <w:rPr>
                <w:rFonts w:ascii="Arial" w:cs="Arial" w:eastAsia="Arial" w:hAnsi="Arial"/>
                <w:sz w:val="17"/>
                <w:szCs w:val="17"/>
                <w:color w:val="auto"/>
                <w:vertAlign w:val="superscript"/>
              </w:rPr>
              <w:t>4</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18,471</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26,016</w:t>
            </w:r>
          </w:p>
        </w:tc>
        <w:tc>
          <w:tcPr>
            <w:tcW w:w="160" w:type="dxa"/>
            <w:vAlign w:val="bottom"/>
          </w:tcPr>
          <w:p>
            <w:pPr>
              <w:spacing w:after="0"/>
              <w:rPr>
                <w:sz w:val="24"/>
                <w:szCs w:val="24"/>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44,487</w:t>
            </w:r>
          </w:p>
        </w:tc>
      </w:tr>
      <w:tr>
        <w:trPr>
          <w:trHeight w:val="176"/>
        </w:trPr>
        <w:tc>
          <w:tcPr>
            <w:tcW w:w="5800" w:type="dxa"/>
            <w:vAlign w:val="bottom"/>
          </w:tcPr>
          <w:p>
            <w:pPr>
              <w:ind w:left="20"/>
              <w:spacing w:after="0"/>
              <w:rPr>
                <w:sz w:val="20"/>
                <w:szCs w:val="20"/>
                <w:color w:val="auto"/>
              </w:rPr>
            </w:pPr>
            <w:r>
              <w:rPr>
                <w:rFonts w:ascii="Arial" w:cs="Arial" w:eastAsia="Arial" w:hAnsi="Arial"/>
                <w:sz w:val="13"/>
                <w:szCs w:val="13"/>
                <w:color w:val="auto"/>
              </w:rPr>
              <w:t>BXP’s share of NOI (after income allocation to private REIT shareholders)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29,397</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33,824</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63,221</w:t>
            </w:r>
          </w:p>
        </w:tc>
      </w:tr>
      <w:tr>
        <w:trPr>
          <w:trHeight w:val="189"/>
        </w:trPr>
        <w:tc>
          <w:tcPr>
            <w:tcW w:w="5800" w:type="dxa"/>
            <w:vAlign w:val="bottom"/>
          </w:tcPr>
          <w:p>
            <w:pPr>
              <w:ind w:left="20"/>
              <w:spacing w:after="0" w:line="189" w:lineRule="exact"/>
              <w:rPr>
                <w:sz w:val="20"/>
                <w:szCs w:val="20"/>
                <w:color w:val="auto"/>
              </w:rPr>
            </w:pPr>
            <w:r>
              <w:rPr>
                <w:rFonts w:ascii="Arial" w:cs="Arial" w:eastAsia="Arial" w:hAnsi="Arial"/>
                <w:sz w:val="13"/>
                <w:szCs w:val="13"/>
                <w:color w:val="auto"/>
              </w:rPr>
              <w:t xml:space="preserve">Unearned portion of capitalized fees </w:t>
            </w:r>
            <w:r>
              <w:rPr>
                <w:rFonts w:ascii="Arial" w:cs="Arial" w:eastAsia="Arial" w:hAnsi="Arial"/>
                <w:sz w:val="17"/>
                <w:szCs w:val="17"/>
                <w:color w:val="auto"/>
                <w:vertAlign w:val="superscript"/>
              </w:rPr>
              <w:t>5</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1,747</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2,274</w:t>
            </w:r>
          </w:p>
        </w:tc>
      </w:tr>
      <w:tr>
        <w:trPr>
          <w:trHeight w:val="43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Partners’ share of select items </w:t>
            </w:r>
            <w:r>
              <w:rPr>
                <w:rFonts w:ascii="Arial" w:cs="Arial" w:eastAsia="Arial" w:hAnsi="Arial"/>
                <w:sz w:val="17"/>
                <w:szCs w:val="17"/>
                <w:b w:val="1"/>
                <w:bCs w:val="1"/>
                <w:color w:val="auto"/>
                <w:vertAlign w:val="superscript"/>
              </w:rPr>
              <w:t>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76"/>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parking and other revenue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hedge amortization</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144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amortization of financing costs</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w:t>
            </w:r>
          </w:p>
        </w:tc>
      </w:tr>
      <w:tr>
        <w:trPr>
          <w:trHeight w:val="182"/>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depreciation and amortization related to capitalized fees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capitalized interest</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lease transactions costs which will qualify as rent inducements</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87</w:t>
            </w:r>
          </w:p>
        </w:tc>
        <w:tc>
          <w:tcPr>
            <w:tcW w:w="160" w:type="dxa"/>
            <w:vAlign w:val="bottom"/>
          </w:tcPr>
          <w:p>
            <w:pPr>
              <w:spacing w:after="0"/>
              <w:rPr>
                <w:sz w:val="15"/>
                <w:szCs w:val="15"/>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management and other fees</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676</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912</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1,588</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basis differential depreciation and amortization expense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basis differential interest and other adjustments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445"/>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Reconciliation of Partners’ share of EBITDA</w:t>
            </w:r>
            <w:r>
              <w:rPr>
                <w:rFonts w:ascii="Arial" w:cs="Arial" w:eastAsia="Arial" w:hAnsi="Arial"/>
                <w:sz w:val="13"/>
                <w:szCs w:val="13"/>
                <w:b w:val="1"/>
                <w:bCs w:val="1"/>
                <w:i w:val="1"/>
                <w:iCs w:val="1"/>
                <w:color w:val="auto"/>
              </w:rPr>
              <w:t>re</w:t>
            </w: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6</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71"/>
        </w:trPr>
        <w:tc>
          <w:tcPr>
            <w:tcW w:w="5800" w:type="dxa"/>
            <w:vAlign w:val="bottom"/>
          </w:tcPr>
          <w:p>
            <w:pPr>
              <w:ind w:left="20"/>
              <w:spacing w:after="0"/>
              <w:rPr>
                <w:sz w:val="20"/>
                <w:szCs w:val="20"/>
                <w:color w:val="auto"/>
              </w:rPr>
            </w:pPr>
            <w:r>
              <w:rPr>
                <w:rFonts w:ascii="Arial" w:cs="Arial" w:eastAsia="Arial" w:hAnsi="Arial"/>
                <w:sz w:val="13"/>
                <w:szCs w:val="13"/>
                <w:color w:val="auto"/>
              </w:rPr>
              <w:t>Partners’ NCI</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2,954</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12,283</w:t>
            </w:r>
          </w:p>
        </w:tc>
        <w:tc>
          <w:tcPr>
            <w:tcW w:w="16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15,237</w:t>
            </w:r>
          </w:p>
        </w:tc>
      </w:tr>
      <w:tr>
        <w:trPr>
          <w:trHeight w:val="189"/>
        </w:trPr>
        <w:tc>
          <w:tcPr>
            <w:tcW w:w="5800" w:type="dxa"/>
            <w:vAlign w:val="bottom"/>
          </w:tcPr>
          <w:p>
            <w:pPr>
              <w:ind w:left="20"/>
              <w:spacing w:after="0"/>
              <w:rPr>
                <w:sz w:val="20"/>
                <w:szCs w:val="20"/>
                <w:color w:val="auto"/>
              </w:rPr>
            </w:pPr>
            <w:r>
              <w:rPr>
                <w:rFonts w:ascii="Arial" w:cs="Arial" w:eastAsia="Arial" w:hAnsi="Arial"/>
                <w:sz w:val="13"/>
                <w:szCs w:val="13"/>
                <w:color w:val="auto"/>
              </w:rPr>
              <w:t>Add:</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Partners’ share of interest expense after BXP’s basis differential</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8,554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3,451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12,005</w:t>
            </w: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Partners’ share of depreciation and amortization expense after BXP’s basis differential</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7,345</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18,857</w:t>
            </w:r>
          </w:p>
        </w:tc>
      </w:tr>
      <w:tr>
        <w:trPr>
          <w:trHeight w:val="189"/>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EBITDA</w:t>
            </w:r>
            <w:r>
              <w:rPr>
                <w:rFonts w:ascii="Arial" w:cs="Arial" w:eastAsia="Arial" w:hAnsi="Arial"/>
                <w:sz w:val="13"/>
                <w:szCs w:val="13"/>
                <w:i w:val="1"/>
                <w:iCs w:val="1"/>
                <w:color w:val="auto"/>
              </w:rPr>
              <w:t>re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18,853</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27,246</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46,099</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265" w:right="339" w:bottom="1440" w:gutter="0" w:footer="0" w:header="0"/>
        </w:sectPr>
      </w:pPr>
    </w:p>
    <w:bookmarkStart w:id="71" w:name="page72"/>
    <w:bookmarkEnd w:id="71"/>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70034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767 Fifth Avenue</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233"/>
              <w:spacing w:after="0"/>
              <w:rPr>
                <w:sz w:val="20"/>
                <w:szCs w:val="20"/>
                <w:color w:val="auto"/>
              </w:rPr>
            </w:pPr>
            <w:r>
              <w:rPr>
                <w:rFonts w:ascii="Arial" w:cs="Arial" w:eastAsia="Arial" w:hAnsi="Arial"/>
                <w:sz w:val="13"/>
                <w:szCs w:val="13"/>
                <w:b w:val="1"/>
                <w:bCs w:val="1"/>
                <w:color w:val="auto"/>
              </w:rPr>
              <w:t>Total Consolidated</w:t>
            </w:r>
          </w:p>
        </w:tc>
        <w:tc>
          <w:tcPr>
            <w:tcW w:w="0" w:type="dxa"/>
            <w:vAlign w:val="bottom"/>
          </w:tcPr>
          <w:p>
            <w:pPr>
              <w:spacing w:after="0"/>
              <w:rPr>
                <w:sz w:val="1"/>
                <w:szCs w:val="1"/>
                <w:color w:val="auto"/>
              </w:rPr>
            </w:pPr>
          </w:p>
        </w:tc>
      </w:tr>
      <w:tr>
        <w:trPr>
          <w:trHeight w:val="197"/>
        </w:trPr>
        <w:tc>
          <w:tcPr>
            <w:tcW w:w="5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Reconciliation of Partners’ share of Net Operating Income (Loss) (NOI) </w:t>
            </w:r>
            <w:r>
              <w:rPr>
                <w:rFonts w:ascii="Arial" w:cs="Arial" w:eastAsia="Arial" w:hAnsi="Arial"/>
                <w:sz w:val="17"/>
                <w:szCs w:val="17"/>
                <w:b w:val="1"/>
                <w:bCs w:val="1"/>
                <w:color w:val="auto"/>
                <w:vertAlign w:val="superscript"/>
              </w:rPr>
              <w:t>6</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6"/>
              </w:rPr>
              <w:t>(The GM Building)</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 xml:space="preserve">Norges Joint Ventures </w:t>
            </w:r>
            <w:r>
              <w:rPr>
                <w:rFonts w:ascii="Arial" w:cs="Arial" w:eastAsia="Arial" w:hAnsi="Arial"/>
                <w:sz w:val="16"/>
                <w:szCs w:val="16"/>
                <w:b w:val="1"/>
                <w:bCs w:val="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Joint Ventures</w:t>
            </w:r>
          </w:p>
        </w:tc>
        <w:tc>
          <w:tcPr>
            <w:tcW w:w="0" w:type="dxa"/>
            <w:vAlign w:val="bottom"/>
          </w:tcPr>
          <w:p>
            <w:pPr>
              <w:spacing w:after="0"/>
              <w:rPr>
                <w:sz w:val="1"/>
                <w:szCs w:val="1"/>
                <w:color w:val="auto"/>
              </w:rPr>
            </w:pPr>
          </w:p>
        </w:tc>
      </w:tr>
      <w:tr>
        <w:trPr>
          <w:trHeight w:val="183"/>
        </w:trPr>
        <w:tc>
          <w:tcPr>
            <w:tcW w:w="5620" w:type="dxa"/>
            <w:vAlign w:val="bottom"/>
          </w:tcPr>
          <w:p>
            <w:pPr>
              <w:spacing w:after="0" w:line="184"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32,735</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46,184</w:t>
            </w:r>
          </w:p>
        </w:tc>
        <w:tc>
          <w:tcPr>
            <w:tcW w:w="1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78,919</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80" w:type="dxa"/>
            <w:vAlign w:val="bottom"/>
          </w:tcPr>
          <w:p>
            <w:pPr>
              <w:spacing w:after="0"/>
              <w:rPr>
                <w:sz w:val="15"/>
                <w:szCs w:val="15"/>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90"/>
        </w:trPr>
        <w:tc>
          <w:tcPr>
            <w:tcW w:w="562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3</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32,717</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46,184</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78,901</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20"/>
                <w:szCs w:val="20"/>
                <w:color w:val="auto"/>
              </w:rPr>
            </w:pPr>
            <w:r>
              <w:rPr>
                <w:rFonts w:ascii="Arial" w:cs="Arial" w:eastAsia="Arial" w:hAnsi="Arial"/>
                <w:sz w:val="13"/>
                <w:szCs w:val="13"/>
                <w:color w:val="auto"/>
              </w:rPr>
              <w:t>Less: Operating expenses (including partners’ share of management and other fees)</w:t>
            </w:r>
          </w:p>
        </w:tc>
        <w:tc>
          <w:tcPr>
            <w:tcW w:w="180" w:type="dxa"/>
            <w:vAlign w:val="bottom"/>
          </w:tcPr>
          <w:p>
            <w:pPr>
              <w:spacing w:after="0"/>
              <w:rPr>
                <w:sz w:val="15"/>
                <w:szCs w:val="15"/>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14,264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20,168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34,432</w:t>
            </w:r>
          </w:p>
        </w:tc>
        <w:tc>
          <w:tcPr>
            <w:tcW w:w="0" w:type="dxa"/>
            <w:vAlign w:val="bottom"/>
          </w:tcPr>
          <w:p>
            <w:pPr>
              <w:spacing w:after="0"/>
              <w:rPr>
                <w:sz w:val="1"/>
                <w:szCs w:val="1"/>
                <w:color w:val="auto"/>
              </w:rPr>
            </w:pPr>
          </w:p>
        </w:tc>
      </w:tr>
      <w:tr>
        <w:trPr>
          <w:trHeight w:val="194"/>
        </w:trPr>
        <w:tc>
          <w:tcPr>
            <w:tcW w:w="5620" w:type="dxa"/>
            <w:vAlign w:val="bottom"/>
          </w:tcPr>
          <w:p>
            <w:pPr>
              <w:ind w:left="420"/>
              <w:spacing w:after="0"/>
              <w:rPr>
                <w:sz w:val="20"/>
                <w:szCs w:val="20"/>
                <w:color w:val="auto"/>
              </w:rPr>
            </w:pPr>
            <w:r>
              <w:rPr>
                <w:rFonts w:ascii="Arial" w:cs="Arial" w:eastAsia="Arial" w:hAnsi="Arial"/>
                <w:sz w:val="13"/>
                <w:szCs w:val="13"/>
                <w:color w:val="auto"/>
              </w:rPr>
              <w:t>Income allocation to private REIT shareholders</w:t>
            </w:r>
          </w:p>
        </w:tc>
        <w:tc>
          <w:tcPr>
            <w:tcW w:w="180" w:type="dxa"/>
            <w:vAlign w:val="bottom"/>
          </w:tcPr>
          <w:p>
            <w:pPr>
              <w:spacing w:after="0"/>
              <w:rPr>
                <w:sz w:val="16"/>
                <w:szCs w:val="16"/>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5620" w:type="dxa"/>
            <w:vAlign w:val="bottom"/>
          </w:tcPr>
          <w:p>
            <w:pPr>
              <w:spacing w:after="0" w:line="123" w:lineRule="exact"/>
              <w:rPr>
                <w:sz w:val="20"/>
                <w:szCs w:val="20"/>
                <w:color w:val="auto"/>
              </w:rPr>
            </w:pPr>
            <w:r>
              <w:rPr>
                <w:rFonts w:ascii="Arial" w:cs="Arial" w:eastAsia="Arial" w:hAnsi="Arial"/>
                <w:sz w:val="13"/>
                <w:szCs w:val="13"/>
                <w:color w:val="auto"/>
              </w:rPr>
              <w:t>NOI (excluding termination income and after income allocation to private REIT</w:t>
            </w: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18,453</w:t>
            </w:r>
          </w:p>
        </w:tc>
        <w:tc>
          <w:tcPr>
            <w:tcW w:w="16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26,016</w:t>
            </w:r>
          </w:p>
        </w:tc>
        <w:tc>
          <w:tcPr>
            <w:tcW w:w="14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44,469</w:t>
            </w:r>
          </w:p>
        </w:tc>
        <w:tc>
          <w:tcPr>
            <w:tcW w:w="0" w:type="dxa"/>
            <w:vAlign w:val="bottom"/>
          </w:tcPr>
          <w:p>
            <w:pPr>
              <w:spacing w:after="0"/>
              <w:rPr>
                <w:sz w:val="1"/>
                <w:szCs w:val="1"/>
                <w:color w:val="auto"/>
              </w:rPr>
            </w:pPr>
          </w:p>
        </w:tc>
      </w:tr>
      <w:tr>
        <w:trPr>
          <w:trHeight w:val="166"/>
        </w:trPr>
        <w:tc>
          <w:tcPr>
            <w:tcW w:w="5620" w:type="dxa"/>
            <w:vAlign w:val="bottom"/>
          </w:tcPr>
          <w:p>
            <w:pPr>
              <w:ind w:left="160"/>
              <w:spacing w:after="0"/>
              <w:rPr>
                <w:sz w:val="20"/>
                <w:szCs w:val="20"/>
                <w:color w:val="auto"/>
              </w:rPr>
            </w:pPr>
            <w:r>
              <w:rPr>
                <w:rFonts w:ascii="Arial" w:cs="Arial" w:eastAsia="Arial" w:hAnsi="Arial"/>
                <w:sz w:val="13"/>
                <w:szCs w:val="13"/>
                <w:color w:val="auto"/>
              </w:rPr>
              <w:t>shareholders)</w:t>
            </w: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62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32,717</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46,184</w:t>
            </w:r>
          </w:p>
        </w:tc>
        <w:tc>
          <w:tcPr>
            <w:tcW w:w="140" w:type="dxa"/>
            <w:vAlign w:val="bottom"/>
          </w:tcPr>
          <w:p>
            <w:pPr>
              <w:spacing w:after="0"/>
              <w:rPr>
                <w:sz w:val="24"/>
                <w:szCs w:val="2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78,901</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20"/>
                <w:szCs w:val="20"/>
                <w:color w:val="auto"/>
              </w:rPr>
            </w:pPr>
            <w:r>
              <w:rPr>
                <w:rFonts w:ascii="Arial" w:cs="Arial" w:eastAsia="Arial" w:hAnsi="Arial"/>
                <w:sz w:val="13"/>
                <w:szCs w:val="13"/>
                <w:color w:val="auto"/>
              </w:rPr>
              <w:t>Less: Straight-line rent</w:t>
            </w:r>
          </w:p>
        </w:tc>
        <w:tc>
          <w:tcPr>
            <w:tcW w:w="180" w:type="dxa"/>
            <w:vAlign w:val="bottom"/>
          </w:tcPr>
          <w:p>
            <w:pPr>
              <w:spacing w:after="0"/>
              <w:rPr>
                <w:sz w:val="15"/>
                <w:szCs w:val="15"/>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2,106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3,438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5,544</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rPr>
                <w:sz w:val="20"/>
                <w:szCs w:val="20"/>
                <w:color w:val="auto"/>
              </w:rPr>
            </w:pPr>
            <w:r>
              <w:rPr>
                <w:rFonts w:ascii="Arial" w:cs="Arial" w:eastAsia="Arial" w:hAnsi="Arial"/>
                <w:sz w:val="13"/>
                <w:szCs w:val="13"/>
                <w:color w:val="auto"/>
              </w:rPr>
              <w:t>Fair value lease revenue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4"/>
        </w:trPr>
        <w:tc>
          <w:tcPr>
            <w:tcW w:w="5620" w:type="dxa"/>
            <w:vAlign w:val="bottom"/>
          </w:tcPr>
          <w:p>
            <w:pPr>
              <w:spacing w:after="0"/>
              <w:rPr>
                <w:sz w:val="20"/>
                <w:szCs w:val="20"/>
                <w:color w:val="auto"/>
              </w:rPr>
            </w:pPr>
            <w:r>
              <w:rPr>
                <w:rFonts w:ascii="Arial" w:cs="Arial" w:eastAsia="Arial" w:hAnsi="Arial"/>
                <w:sz w:val="13"/>
                <w:szCs w:val="13"/>
                <w:color w:val="auto"/>
              </w:rPr>
              <w:t>Add: Lease transaction costs that qualify as rent inducements</w:t>
            </w:r>
          </w:p>
        </w:tc>
        <w:tc>
          <w:tcPr>
            <w:tcW w:w="180" w:type="dxa"/>
            <w:vAlign w:val="bottom"/>
          </w:tcPr>
          <w:p>
            <w:pPr>
              <w:spacing w:after="0"/>
              <w:rPr>
                <w:sz w:val="16"/>
                <w:szCs w:val="16"/>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(87)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20"/>
                <w:szCs w:val="20"/>
                <w:color w:val="auto"/>
              </w:rPr>
            </w:pPr>
            <w:r>
              <w:rPr>
                <w:rFonts w:ascii="Arial" w:cs="Arial" w:eastAsia="Arial" w:hAnsi="Arial"/>
                <w:sz w:val="13"/>
                <w:szCs w:val="13"/>
                <w:color w:val="auto"/>
              </w:rPr>
              <w:t>Subtotal</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30,622</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42,659</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73,281</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3"/>
                <w:szCs w:val="13"/>
                <w:color w:val="auto"/>
              </w:rPr>
              <w:t>Less: Operating expenses (including partners’ share of management and other fees)</w:t>
            </w:r>
          </w:p>
        </w:tc>
        <w:tc>
          <w:tcPr>
            <w:tcW w:w="180" w:type="dxa"/>
            <w:vAlign w:val="bottom"/>
          </w:tcPr>
          <w:p>
            <w:pPr>
              <w:spacing w:after="0"/>
              <w:rPr>
                <w:sz w:val="16"/>
                <w:szCs w:val="16"/>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14,264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20,168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34,432</w:t>
            </w:r>
          </w:p>
        </w:tc>
        <w:tc>
          <w:tcPr>
            <w:tcW w:w="0" w:type="dxa"/>
            <w:vAlign w:val="bottom"/>
          </w:tcPr>
          <w:p>
            <w:pPr>
              <w:spacing w:after="0"/>
              <w:rPr>
                <w:sz w:val="1"/>
                <w:szCs w:val="1"/>
                <w:color w:val="auto"/>
              </w:rPr>
            </w:pPr>
          </w:p>
        </w:tc>
      </w:tr>
      <w:tr>
        <w:trPr>
          <w:trHeight w:val="195"/>
        </w:trPr>
        <w:tc>
          <w:tcPr>
            <w:tcW w:w="5620" w:type="dxa"/>
            <w:vAlign w:val="bottom"/>
          </w:tcPr>
          <w:p>
            <w:pPr>
              <w:ind w:left="420"/>
              <w:spacing w:after="0"/>
              <w:rPr>
                <w:sz w:val="20"/>
                <w:szCs w:val="20"/>
                <w:color w:val="auto"/>
              </w:rPr>
            </w:pPr>
            <w:r>
              <w:rPr>
                <w:rFonts w:ascii="Arial" w:cs="Arial" w:eastAsia="Arial" w:hAnsi="Arial"/>
                <w:sz w:val="13"/>
                <w:szCs w:val="13"/>
                <w:color w:val="auto"/>
              </w:rPr>
              <w:t>Income allocation to private REIT shareholders</w:t>
            </w:r>
          </w:p>
        </w:tc>
        <w:tc>
          <w:tcPr>
            <w:tcW w:w="180" w:type="dxa"/>
            <w:vAlign w:val="bottom"/>
          </w:tcPr>
          <w:p>
            <w:pPr>
              <w:spacing w:after="0"/>
              <w:rPr>
                <w:sz w:val="16"/>
                <w:szCs w:val="16"/>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5620" w:type="dxa"/>
            <w:vAlign w:val="bottom"/>
          </w:tcPr>
          <w:p>
            <w:pPr>
              <w:spacing w:after="0" w:line="123" w:lineRule="exact"/>
              <w:rPr>
                <w:sz w:val="20"/>
                <w:szCs w:val="20"/>
                <w:color w:val="auto"/>
              </w:rPr>
            </w:pPr>
            <w:r>
              <w:rPr>
                <w:rFonts w:ascii="Arial" w:cs="Arial" w:eastAsia="Arial" w:hAnsi="Arial"/>
                <w:sz w:val="13"/>
                <w:szCs w:val="13"/>
                <w:color w:val="auto"/>
              </w:rPr>
              <w:t>NOI - cash (excluding termination income and after income allocation to private REIT</w:t>
            </w: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16,358</w:t>
            </w:r>
          </w:p>
        </w:tc>
        <w:tc>
          <w:tcPr>
            <w:tcW w:w="16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22,491</w:t>
            </w:r>
          </w:p>
        </w:tc>
        <w:tc>
          <w:tcPr>
            <w:tcW w:w="14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38,849</w:t>
            </w:r>
          </w:p>
        </w:tc>
        <w:tc>
          <w:tcPr>
            <w:tcW w:w="0" w:type="dxa"/>
            <w:vAlign w:val="bottom"/>
          </w:tcPr>
          <w:p>
            <w:pPr>
              <w:spacing w:after="0"/>
              <w:rPr>
                <w:sz w:val="1"/>
                <w:szCs w:val="1"/>
                <w:color w:val="auto"/>
              </w:rPr>
            </w:pPr>
          </w:p>
        </w:tc>
      </w:tr>
      <w:tr>
        <w:trPr>
          <w:trHeight w:val="166"/>
        </w:trPr>
        <w:tc>
          <w:tcPr>
            <w:tcW w:w="5620" w:type="dxa"/>
            <w:vAlign w:val="bottom"/>
          </w:tcPr>
          <w:p>
            <w:pPr>
              <w:ind w:left="160"/>
              <w:spacing w:after="0"/>
              <w:rPr>
                <w:sz w:val="20"/>
                <w:szCs w:val="20"/>
                <w:color w:val="auto"/>
              </w:rPr>
            </w:pPr>
            <w:r>
              <w:rPr>
                <w:rFonts w:ascii="Arial" w:cs="Arial" w:eastAsia="Arial" w:hAnsi="Arial"/>
                <w:sz w:val="13"/>
                <w:szCs w:val="13"/>
                <w:color w:val="auto"/>
              </w:rPr>
              <w:t>shareholders)</w:t>
            </w: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2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Reconciliation of Partners’ share of Revenue </w:t>
            </w:r>
            <w:r>
              <w:rPr>
                <w:rFonts w:ascii="Arial" w:cs="Arial" w:eastAsia="Arial" w:hAnsi="Arial"/>
                <w:sz w:val="17"/>
                <w:szCs w:val="17"/>
                <w:b w:val="1"/>
                <w:bCs w:val="1"/>
                <w:color w:val="auto"/>
                <w:vertAlign w:val="superscript"/>
              </w:rPr>
              <w:t>4</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6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line="184"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32,735</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46,184</w:t>
            </w:r>
          </w:p>
        </w:tc>
        <w:tc>
          <w:tcPr>
            <w:tcW w:w="1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78,919</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3"/>
                <w:szCs w:val="13"/>
                <w:color w:val="auto"/>
              </w:rPr>
              <w:t>Add: Development and management services revenue</w:t>
            </w:r>
          </w:p>
        </w:tc>
        <w:tc>
          <w:tcPr>
            <w:tcW w:w="18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277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3"/>
                <w:szCs w:val="13"/>
                <w:color w:val="auto"/>
              </w:rPr>
              <w:t>Revenue</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32,735</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46,461</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79,196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48" w:lineRule="exact"/>
        <w:rPr>
          <w:sz w:val="20"/>
          <w:szCs w:val="20"/>
          <w:color w:val="auto"/>
        </w:rPr>
      </w:pPr>
    </w:p>
    <w:p>
      <w:pPr>
        <w:ind w:left="80" w:right="220" w:hanging="72"/>
        <w:spacing w:after="0" w:line="229" w:lineRule="auto"/>
        <w:tabs>
          <w:tab w:leader="none" w:pos="78" w:val="left"/>
        </w:tabs>
        <w:numPr>
          <w:ilvl w:val="0"/>
          <w:numId w:val="121"/>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Times Square Tower, 601 Lexington Avenue/One Five Nine East 53rd Street, 100 Federal Street, Atlantic Wharf Office, 343 Madison Avenue, 300 Binney Street, and 290 Binney Street.</w:t>
      </w:r>
    </w:p>
    <w:p>
      <w:pPr>
        <w:ind w:left="120" w:hanging="112"/>
        <w:spacing w:after="0" w:line="238" w:lineRule="auto"/>
        <w:tabs>
          <w:tab w:leader="none" w:pos="120"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Lease revenue includes recoveries from clients and service income from clients.</w:t>
      </w:r>
    </w:p>
    <w:p>
      <w:pPr>
        <w:spacing w:after="0" w:line="27" w:lineRule="exact"/>
        <w:rPr>
          <w:sz w:val="20"/>
          <w:szCs w:val="20"/>
          <w:color w:val="auto"/>
        </w:rPr>
      </w:pPr>
    </w:p>
    <w:p>
      <w:pPr>
        <w:ind w:left="80" w:hanging="72"/>
        <w:spacing w:after="0"/>
        <w:tabs>
          <w:tab w:leader="none" w:pos="80" w:val="left"/>
        </w:tabs>
        <w:numPr>
          <w:ilvl w:val="0"/>
          <w:numId w:val="123"/>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57.</w:t>
      </w:r>
    </w:p>
    <w:p>
      <w:pPr>
        <w:spacing w:after="0" w:line="3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Amounts represent the partners’ share based on their respective ownership percentage.</w:t>
      </w:r>
    </w:p>
    <w:p>
      <w:pPr>
        <w:spacing w:after="0" w:line="1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Capitalized fees are eliminated in consolidation and recognized over the life of the asset as depreciation and amortization are added back to the Company’s net income.</w:t>
      </w:r>
    </w:p>
    <w:p>
      <w:pPr>
        <w:spacing w:after="0" w:line="1" w:lineRule="exact"/>
        <w:rPr>
          <w:sz w:val="20"/>
          <w:szCs w:val="20"/>
          <w:color w:val="auto"/>
        </w:rPr>
      </w:pPr>
    </w:p>
    <w:p>
      <w:pPr>
        <w:ind w:left="80" w:right="120" w:hanging="72"/>
        <w:spacing w:after="0" w:line="226" w:lineRule="auto"/>
        <w:tabs>
          <w:tab w:leader="none" w:pos="78"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Amounts represent the partners’ share based on their respective ownership percentages and are adjusted for basis differentials and the allocations of management and other fees and depreciation and amortization related to capitalized fees.</w:t>
      </w:r>
    </w:p>
    <w:p>
      <w:pPr>
        <w:sectPr>
          <w:pgSz w:w="11900" w:h="16838" w:orient="portrait"/>
          <w:cols w:equalWidth="0" w:num="1">
            <w:col w:w="11240"/>
          </w:cols>
          <w:pgMar w:left="320" w:top="265" w:right="339" w:bottom="1440" w:gutter="0" w:footer="0" w:header="0"/>
        </w:sectPr>
      </w:pPr>
    </w:p>
    <w:p>
      <w:pPr>
        <w:spacing w:after="0" w:line="37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265" w:right="339" w:bottom="1440" w:gutter="0" w:footer="0" w:header="0"/>
          <w:type w:val="continuous"/>
        </w:sectPr>
      </w:pPr>
    </w:p>
    <w:bookmarkStart w:id="72" w:name="page73"/>
    <w:bookmarkEnd w:id="72"/>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UNCONSOLIDATED JOINT VENTURES </w:t>
      </w:r>
      <w:r>
        <w:rPr>
          <w:rFonts w:ascii="Arial" w:cs="Arial" w:eastAsia="Arial" w:hAnsi="Arial"/>
          <w:sz w:val="9"/>
          <w:szCs w:val="9"/>
          <w:b w:val="1"/>
          <w:bCs w:val="1"/>
          <w:i w:val="1"/>
          <w:iCs w:val="1"/>
          <w:color w:val="auto"/>
        </w:rPr>
        <w:t>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rPr>
              <w:t>Washington,</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auto"/>
              </w:rPr>
              <w:t>Boston</w:t>
            </w: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Los Angeles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New York</w:t>
            </w:r>
          </w:p>
        </w:tc>
        <w:tc>
          <w:tcPr>
            <w:tcW w:w="1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color w:val="auto"/>
              </w:rPr>
              <w:t>San Francisco</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Seattle</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8"/>
              <w:spacing w:after="0" w:line="145"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DC</w:t>
            </w:r>
          </w:p>
        </w:tc>
        <w:tc>
          <w:tcPr>
            <w:tcW w:w="12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180"/>
        </w:trPr>
        <w:tc>
          <w:tcPr>
            <w:tcW w:w="320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26,118</w:t>
            </w:r>
          </w:p>
        </w:tc>
        <w:tc>
          <w:tcPr>
            <w:tcW w:w="14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19,507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23,849</w:t>
            </w: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17,662</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7,933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20,500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115,569</w:t>
            </w:r>
          </w:p>
        </w:tc>
        <w:tc>
          <w:tcPr>
            <w:tcW w:w="0" w:type="dxa"/>
            <w:vAlign w:val="bottom"/>
          </w:tcPr>
          <w:p>
            <w:pPr>
              <w:spacing w:after="0"/>
              <w:rPr>
                <w:sz w:val="1"/>
                <w:szCs w:val="1"/>
                <w:color w:val="auto"/>
              </w:rPr>
            </w:pPr>
          </w:p>
        </w:tc>
      </w:tr>
      <w:tr>
        <w:trPr>
          <w:trHeight w:val="190"/>
        </w:trPr>
        <w:tc>
          <w:tcPr>
            <w:tcW w:w="320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1,038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1,785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1,538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2,633</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Amortization and accretion related to sales</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type lease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560"/>
              <w:spacing w:after="0"/>
              <w:rPr>
                <w:sz w:val="20"/>
                <w:szCs w:val="20"/>
                <w:color w:val="auto"/>
              </w:rPr>
            </w:pPr>
            <w:r>
              <w:rPr>
                <w:rFonts w:ascii="Arial" w:cs="Arial" w:eastAsia="Arial" w:hAnsi="Arial"/>
                <w:sz w:val="14"/>
                <w:szCs w:val="14"/>
                <w:color w:val="auto"/>
              </w:rPr>
              <w:t>Total lease revenue</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27,212</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18,620</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27,172</w:t>
            </w: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18,294</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9,143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20,615</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121,056</w:t>
            </w:r>
          </w:p>
        </w:tc>
        <w:tc>
          <w:tcPr>
            <w:tcW w:w="0" w:type="dxa"/>
            <w:vAlign w:val="bottom"/>
          </w:tcPr>
          <w:p>
            <w:pPr>
              <w:spacing w:after="0"/>
              <w:rPr>
                <w:sz w:val="1"/>
                <w:szCs w:val="1"/>
                <w:color w:val="auto"/>
              </w:rPr>
            </w:pPr>
          </w:p>
        </w:tc>
      </w:tr>
      <w:tr>
        <w:trPr>
          <w:trHeight w:val="204"/>
        </w:trPr>
        <w:tc>
          <w:tcPr>
            <w:tcW w:w="320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207"/>
        </w:trPr>
        <w:tc>
          <w:tcPr>
            <w:tcW w:w="3200" w:type="dxa"/>
            <w:vAlign w:val="bottom"/>
          </w:tcPr>
          <w:p>
            <w:pPr>
              <w:ind w:left="56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28,252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20,424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27,247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125,707</w:t>
            </w: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10,053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14,346</w:t>
            </w:r>
          </w:p>
        </w:tc>
        <w:tc>
          <w:tcPr>
            <w:tcW w:w="1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9,279</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53,250</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income/(loss)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18,199</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12,901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72,457</w:t>
            </w:r>
          </w:p>
        </w:tc>
        <w:tc>
          <w:tcPr>
            <w:tcW w:w="0" w:type="dxa"/>
            <w:vAlign w:val="bottom"/>
          </w:tcPr>
          <w:p>
            <w:pPr>
              <w:spacing w:after="0"/>
              <w:rPr>
                <w:sz w:val="1"/>
                <w:szCs w:val="1"/>
                <w:color w:val="auto"/>
              </w:rPr>
            </w:pPr>
          </w:p>
        </w:tc>
      </w:tr>
      <w:tr>
        <w:trPr>
          <w:trHeight w:val="398"/>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5" w:lineRule="exact"/>
              <w:rPr>
                <w:sz w:val="20"/>
                <w:szCs w:val="20"/>
                <w:color w:val="auto"/>
              </w:rPr>
            </w:pPr>
            <w:r>
              <w:rPr>
                <w:rFonts w:ascii="Arial" w:cs="Arial" w:eastAsia="Arial" w:hAnsi="Arial"/>
                <w:sz w:val="14"/>
                <w:szCs w:val="14"/>
                <w:color w:val="auto"/>
              </w:rPr>
              <w:t>Development and management services</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506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89"/>
        </w:trPr>
        <w:tc>
          <w:tcPr>
            <w:tcW w:w="3200" w:type="dxa"/>
            <w:vAlign w:val="bottom"/>
          </w:tcPr>
          <w:p>
            <w:pPr>
              <w:ind w:left="44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40"/>
              <w:spacing w:after="0"/>
              <w:rPr>
                <w:sz w:val="20"/>
                <w:szCs w:val="20"/>
                <w:color w:val="auto"/>
              </w:rPr>
            </w:pPr>
            <w:r>
              <w:rPr>
                <w:rFonts w:ascii="Arial" w:cs="Arial" w:eastAsia="Arial" w:hAnsi="Arial"/>
                <w:sz w:val="14"/>
                <w:szCs w:val="14"/>
                <w:color w:val="auto"/>
              </w:rPr>
              <w:t>Interest and other income (loss)</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203"/>
        </w:trPr>
        <w:tc>
          <w:tcPr>
            <w:tcW w:w="32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(11,785)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(14,468)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(45,244)</w:t>
            </w:r>
          </w:p>
        </w:tc>
        <w:tc>
          <w:tcPr>
            <w:tcW w:w="0" w:type="dxa"/>
            <w:vAlign w:val="bottom"/>
          </w:tcPr>
          <w:p>
            <w:pPr>
              <w:spacing w:after="0"/>
              <w:rPr>
                <w:sz w:val="1"/>
                <w:szCs w:val="1"/>
                <w:color w:val="auto"/>
              </w:rPr>
            </w:pPr>
          </w:p>
        </w:tc>
      </w:tr>
      <w:tr>
        <w:trPr>
          <w:trHeight w:val="161"/>
        </w:trPr>
        <w:tc>
          <w:tcPr>
            <w:tcW w:w="3200" w:type="dxa"/>
            <w:vAlign w:val="bottom"/>
          </w:tcPr>
          <w:p>
            <w:pPr>
              <w:ind w:left="220"/>
              <w:spacing w:after="0"/>
              <w:rPr>
                <w:sz w:val="20"/>
                <w:szCs w:val="20"/>
                <w:color w:val="auto"/>
              </w:rPr>
            </w:pPr>
            <w:r>
              <w:rPr>
                <w:rFonts w:ascii="Arial" w:cs="Arial" w:eastAsia="Arial" w:hAnsi="Arial"/>
                <w:sz w:val="14"/>
                <w:szCs w:val="14"/>
                <w:color w:val="auto"/>
              </w:rPr>
              <w:t>Unrealized gain/loss on derivative</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(19,172)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(19,172)</w:t>
            </w:r>
          </w:p>
        </w:tc>
        <w:tc>
          <w:tcPr>
            <w:tcW w:w="0" w:type="dxa"/>
            <w:vAlign w:val="bottom"/>
          </w:tcPr>
          <w:p>
            <w:pPr>
              <w:spacing w:after="0"/>
              <w:rPr>
                <w:sz w:val="1"/>
                <w:szCs w:val="1"/>
                <w:color w:val="auto"/>
              </w:rPr>
            </w:pPr>
          </w:p>
        </w:tc>
      </w:tr>
      <w:tr>
        <w:trPr>
          <w:trHeight w:val="189"/>
        </w:trPr>
        <w:tc>
          <w:tcPr>
            <w:tcW w:w="3200" w:type="dxa"/>
            <w:vAlign w:val="bottom"/>
          </w:tcPr>
          <w:p>
            <w:pPr>
              <w:ind w:left="44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4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2"/>
        </w:trPr>
        <w:tc>
          <w:tcPr>
            <w:tcW w:w="320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(8,671)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(8,979)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(41,082)</w:t>
            </w:r>
          </w:p>
        </w:tc>
        <w:tc>
          <w:tcPr>
            <w:tcW w:w="0" w:type="dxa"/>
            <w:vAlign w:val="bottom"/>
          </w:tcPr>
          <w:p>
            <w:pPr>
              <w:spacing w:after="0"/>
              <w:rPr>
                <w:sz w:val="1"/>
                <w:szCs w:val="1"/>
                <w:color w:val="auto"/>
              </w:rPr>
            </w:pPr>
          </w:p>
        </w:tc>
      </w:tr>
      <w:tr>
        <w:trPr>
          <w:trHeight w:val="204"/>
        </w:trPr>
        <w:tc>
          <w:tcPr>
            <w:tcW w:w="3200" w:type="dxa"/>
            <w:vAlign w:val="bottom"/>
          </w:tcPr>
          <w:p>
            <w:pPr>
              <w:ind w:left="240"/>
              <w:spacing w:after="0"/>
              <w:rPr>
                <w:sz w:val="20"/>
                <w:szCs w:val="20"/>
                <w:color w:val="auto"/>
              </w:rPr>
            </w:pPr>
            <w:r>
              <w:rPr>
                <w:rFonts w:ascii="Arial" w:cs="Arial" w:eastAsia="Arial" w:hAnsi="Arial"/>
                <w:sz w:val="14"/>
                <w:szCs w:val="14"/>
                <w:color w:val="auto"/>
              </w:rPr>
              <w:t>General and administrative expense</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3200" w:type="dxa"/>
            <w:vAlign w:val="bottom"/>
          </w:tcPr>
          <w:p>
            <w:pPr>
              <w:ind w:left="560"/>
              <w:spacing w:after="0"/>
              <w:rPr>
                <w:sz w:val="20"/>
                <w:szCs w:val="20"/>
                <w:color w:val="auto"/>
              </w:rPr>
            </w:pPr>
            <w:r>
              <w:rPr>
                <w:rFonts w:ascii="Arial" w:cs="Arial" w:eastAsia="Arial" w:hAnsi="Arial"/>
                <w:sz w:val="14"/>
                <w:szCs w:val="14"/>
                <w:color w:val="auto"/>
              </w:rPr>
              <w:t>Total other income/(expense)</w:t>
            </w: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(20,083)</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(41,953)</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(6,932)</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(10,677)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(13,719)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(102,853)</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Net income/(loss)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3,390</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(29,052)</w:t>
            </w: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(5,063)</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(30,396)</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BXP’s share of select items:</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parking and other revenue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520</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amortization of financing costs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line="139" w:lineRule="exact"/>
              <w:rPr>
                <w:sz w:val="20"/>
                <w:szCs w:val="20"/>
                <w:color w:val="auto"/>
              </w:rPr>
            </w:pPr>
            <w:r>
              <w:rPr>
                <w:rFonts w:ascii="Arial" w:cs="Arial" w:eastAsia="Arial" w:hAnsi="Arial"/>
                <w:sz w:val="14"/>
                <w:szCs w:val="14"/>
                <w:color w:val="auto"/>
              </w:rPr>
              <w:t>BXP’s share of hedge amortization, net of</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503</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90"/>
        </w:trPr>
        <w:tc>
          <w:tcPr>
            <w:tcW w:w="3200" w:type="dxa"/>
            <w:vAlign w:val="bottom"/>
          </w:tcPr>
          <w:p>
            <w:pPr>
              <w:ind w:left="180"/>
              <w:spacing w:after="0"/>
              <w:rPr>
                <w:sz w:val="20"/>
                <w:szCs w:val="20"/>
                <w:color w:val="auto"/>
              </w:rPr>
            </w:pPr>
            <w:r>
              <w:rPr>
                <w:rFonts w:ascii="Arial" w:cs="Arial" w:eastAsia="Arial" w:hAnsi="Arial"/>
                <w:sz w:val="14"/>
                <w:szCs w:val="14"/>
                <w:color w:val="auto"/>
              </w:rPr>
              <w:t>costs</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fair value interest adjustment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6"/>
                <w:szCs w:val="16"/>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capitalized interest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2,978</w:t>
            </w: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line="139" w:lineRule="exact"/>
              <w:rPr>
                <w:sz w:val="20"/>
                <w:szCs w:val="20"/>
                <w:color w:val="auto"/>
              </w:rPr>
            </w:pPr>
            <w:r>
              <w:rPr>
                <w:rFonts w:ascii="Arial" w:cs="Arial" w:eastAsia="Arial" w:hAnsi="Arial"/>
                <w:sz w:val="14"/>
                <w:szCs w:val="14"/>
                <w:color w:val="auto"/>
              </w:rPr>
              <w:t>BXP’s share of amortization and accretion</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5"/>
        </w:trPr>
        <w:tc>
          <w:tcPr>
            <w:tcW w:w="3200" w:type="dxa"/>
            <w:vAlign w:val="bottom"/>
          </w:tcPr>
          <w:p>
            <w:pPr>
              <w:ind w:left="180"/>
              <w:spacing w:after="0"/>
              <w:rPr>
                <w:sz w:val="20"/>
                <w:szCs w:val="20"/>
                <w:color w:val="auto"/>
              </w:rPr>
            </w:pPr>
            <w:r>
              <w:rPr>
                <w:rFonts w:ascii="Arial" w:cs="Arial" w:eastAsia="Arial" w:hAnsi="Arial"/>
                <w:sz w:val="14"/>
                <w:szCs w:val="14"/>
                <w:color w:val="auto"/>
              </w:rPr>
              <w:t>related to sales type lease</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BXP’s share of EBITDA</w:t>
            </w:r>
            <w:r>
              <w:rPr>
                <w:rFonts w:ascii="Arial" w:cs="Arial" w:eastAsia="Arial" w:hAnsi="Arial"/>
                <w:sz w:val="14"/>
                <w:szCs w:val="14"/>
                <w:b w:val="1"/>
                <w:bCs w:val="1"/>
                <w:i w:val="1"/>
                <w:iCs w:val="1"/>
                <w:color w:val="auto"/>
              </w:rPr>
              <w:t>re</w:t>
            </w: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200" w:type="dxa"/>
            <w:vAlign w:val="bottom"/>
          </w:tcPr>
          <w:p>
            <w:pPr>
              <w:ind w:left="20"/>
              <w:spacing w:after="0" w:line="147" w:lineRule="exact"/>
              <w:rPr>
                <w:sz w:val="20"/>
                <w:szCs w:val="20"/>
                <w:color w:val="auto"/>
              </w:rPr>
            </w:pPr>
            <w:r>
              <w:rPr>
                <w:rFonts w:ascii="Arial" w:cs="Arial" w:eastAsia="Arial" w:hAnsi="Arial"/>
                <w:sz w:val="14"/>
                <w:szCs w:val="14"/>
                <w:color w:val="auto"/>
              </w:rPr>
              <w:t>Income/(loss) from unconsolidated joint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(949)</w:t>
            </w:r>
          </w:p>
        </w:tc>
        <w:tc>
          <w:tcPr>
            <w:tcW w:w="14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974</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(6,262)</w:t>
            </w:r>
          </w:p>
        </w:tc>
        <w:tc>
          <w:tcPr>
            <w:tcW w:w="1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(1,421)</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357</w:t>
            </w:r>
          </w:p>
        </w:tc>
        <w:tc>
          <w:tcPr>
            <w:tcW w:w="1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(7,011)</w:t>
            </w: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interest expense</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5,893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5,244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19,335</w:t>
            </w: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depreciation and</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4,342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3,791</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4,722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3,988</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2,070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20,757</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amortization expense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9,286</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7,291</w:t>
            </w:r>
          </w:p>
        </w:tc>
        <w:tc>
          <w:tcPr>
            <w:tcW w:w="16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3,704</w:t>
            </w: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4,278</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33,081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265" w:right="339" w:bottom="1440" w:gutter="0" w:footer="0" w:header="0"/>
        </w:sectPr>
      </w:pPr>
    </w:p>
    <w:bookmarkStart w:id="73" w:name="page74"/>
    <w:bookmarkEnd w:id="73"/>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xml:space="preserve">UNCONSOLIDATED JOINT VENTURES </w:t>
      </w:r>
      <w:r>
        <w:rPr>
          <w:rFonts w:ascii="Arial" w:cs="Arial" w:eastAsia="Arial" w:hAnsi="Arial"/>
          <w:sz w:val="18"/>
          <w:szCs w:val="18"/>
          <w:b w:val="1"/>
          <w:bCs w:val="1"/>
          <w:i w:val="1"/>
          <w:iCs w:val="1"/>
          <w:color w:val="auto"/>
          <w:vertAlign w:val="superscript"/>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Net</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rPr>
              <w:t>Washington,</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48"/>
              <w:spacing w:after="0" w:line="147"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Boston</w:t>
            </w:r>
          </w:p>
        </w:tc>
        <w:tc>
          <w:tcPr>
            <w:tcW w:w="9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Los Angeles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New York</w:t>
            </w:r>
          </w:p>
        </w:tc>
        <w:tc>
          <w:tcPr>
            <w:tcW w:w="16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color w:val="auto"/>
              </w:rPr>
              <w:t>San Francisco</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Seattle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8"/>
              <w:spacing w:after="0" w:line="145"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Operating Income/(Loss)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96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DC</w:t>
            </w:r>
          </w:p>
        </w:tc>
        <w:tc>
          <w:tcPr>
            <w:tcW w:w="120" w:type="dxa"/>
            <w:vAlign w:val="bottom"/>
          </w:tcPr>
          <w:p>
            <w:pPr>
              <w:spacing w:after="0"/>
              <w:rPr>
                <w:sz w:val="16"/>
                <w:szCs w:val="16"/>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3</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14,126</w:t>
            </w:r>
          </w:p>
        </w:tc>
        <w:tc>
          <w:tcPr>
            <w:tcW w:w="14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10,608</w:t>
            </w:r>
          </w:p>
        </w:tc>
        <w:tc>
          <w:tcPr>
            <w:tcW w:w="16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8,336</w:t>
            </w:r>
          </w:p>
        </w:tc>
        <w:tc>
          <w:tcPr>
            <w:tcW w:w="160" w:type="dxa"/>
            <w:vAlign w:val="bottom"/>
            <w:vMerge w:val="continue"/>
          </w:tcPr>
          <w:p>
            <w:pPr>
              <w:spacing w:after="0"/>
              <w:rPr>
                <w:sz w:val="17"/>
                <w:szCs w:val="17"/>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8,993</w:t>
            </w:r>
          </w:p>
        </w:tc>
        <w:tc>
          <w:tcPr>
            <w:tcW w:w="160" w:type="dxa"/>
            <w:vAlign w:val="bottom"/>
            <w:vMerge w:val="continue"/>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3,302</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9,444</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54,809</w:t>
            </w:r>
          </w:p>
        </w:tc>
        <w:tc>
          <w:tcPr>
            <w:tcW w:w="0" w:type="dxa"/>
            <w:vAlign w:val="bottom"/>
          </w:tcPr>
          <w:p>
            <w:pPr>
              <w:spacing w:after="0"/>
              <w:rPr>
                <w:sz w:val="1"/>
                <w:szCs w:val="1"/>
                <w:color w:val="auto"/>
              </w:rPr>
            </w:pPr>
          </w:p>
        </w:tc>
      </w:tr>
      <w:tr>
        <w:trPr>
          <w:trHeight w:val="192"/>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operating expenses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5,027</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3,773</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4,864</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4,708</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22,890</w:t>
            </w: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net operating income/(loss)</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9,099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6,835</w:t>
            </w:r>
          </w:p>
        </w:tc>
        <w:tc>
          <w:tcPr>
            <w:tcW w:w="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3,472</w:t>
            </w:r>
          </w:p>
        </w:tc>
        <w:tc>
          <w:tcPr>
            <w:tcW w:w="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4,285</w:t>
            </w:r>
          </w:p>
        </w:tc>
        <w:tc>
          <w:tcPr>
            <w:tcW w:w="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6,329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31,919</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termination income</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line="139" w:lineRule="exact"/>
              <w:rPr>
                <w:sz w:val="20"/>
                <w:szCs w:val="20"/>
                <w:color w:val="auto"/>
              </w:rPr>
            </w:pPr>
            <w:r>
              <w:rPr>
                <w:rFonts w:ascii="Arial" w:cs="Arial" w:eastAsia="Arial" w:hAnsi="Arial"/>
                <w:sz w:val="14"/>
                <w:szCs w:val="14"/>
                <w:color w:val="auto"/>
              </w:rPr>
              <w:t>BXP’s share of net operating income/(loss)</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9,099</w:t>
            </w: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6,835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3,472</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4,285</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1,899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6,252</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31,842</w:t>
            </w: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Arial" w:cs="Arial" w:eastAsia="Arial" w:hAnsi="Arial"/>
                <w:sz w:val="14"/>
                <w:szCs w:val="14"/>
                <w:color w:val="auto"/>
              </w:rPr>
              <w:t>(excluding termination income)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straight-line rent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(353)</w:t>
            </w: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842</w:t>
            </w:r>
          </w:p>
        </w:tc>
        <w:tc>
          <w:tcPr>
            <w:tcW w:w="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311</w:t>
            </w:r>
          </w:p>
        </w:tc>
        <w:tc>
          <w:tcPr>
            <w:tcW w:w="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233"/>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fair value lease revenue</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w:t>
            </w:r>
          </w:p>
        </w:tc>
        <w:tc>
          <w:tcPr>
            <w:tcW w:w="16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527</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amortization and accretion</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3200" w:type="dxa"/>
            <w:vAlign w:val="bottom"/>
          </w:tcPr>
          <w:p>
            <w:pPr>
              <w:ind w:left="400"/>
              <w:spacing w:after="0"/>
              <w:rPr>
                <w:sz w:val="20"/>
                <w:szCs w:val="20"/>
                <w:color w:val="auto"/>
              </w:rPr>
            </w:pPr>
            <w:r>
              <w:rPr>
                <w:rFonts w:ascii="Arial" w:cs="Arial" w:eastAsia="Arial" w:hAnsi="Arial"/>
                <w:sz w:val="14"/>
                <w:szCs w:val="14"/>
                <w:color w:val="auto"/>
              </w:rPr>
              <w:t>related to sales type lease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80"/>
              <w:spacing w:after="0"/>
              <w:rPr>
                <w:sz w:val="20"/>
                <w:szCs w:val="20"/>
                <w:color w:val="auto"/>
              </w:rPr>
            </w:pPr>
            <w:r>
              <w:rPr>
                <w:rFonts w:ascii="Arial" w:cs="Arial" w:eastAsia="Arial" w:hAnsi="Arial"/>
                <w:sz w:val="14"/>
                <w:szCs w:val="14"/>
                <w:color w:val="auto"/>
              </w:rPr>
              <w:t>BXP’s share of straight-line ground rent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3200" w:type="dxa"/>
            <w:vAlign w:val="bottom"/>
          </w:tcPr>
          <w:p>
            <w:pPr>
              <w:ind w:left="400"/>
              <w:spacing w:after="0"/>
              <w:rPr>
                <w:sz w:val="20"/>
                <w:szCs w:val="20"/>
                <w:color w:val="auto"/>
              </w:rPr>
            </w:pPr>
            <w:r>
              <w:rPr>
                <w:rFonts w:ascii="Arial" w:cs="Arial" w:eastAsia="Arial" w:hAnsi="Arial"/>
                <w:sz w:val="14"/>
                <w:szCs w:val="14"/>
                <w:color w:val="auto"/>
              </w:rPr>
              <w:t>expense adjustment</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40"/>
              <w:spacing w:after="0" w:line="149" w:lineRule="exact"/>
              <w:rPr>
                <w:sz w:val="20"/>
                <w:szCs w:val="20"/>
                <w:color w:val="auto"/>
              </w:rPr>
            </w:pPr>
            <w:r>
              <w:rPr>
                <w:rFonts w:ascii="Arial" w:cs="Arial" w:eastAsia="Arial" w:hAnsi="Arial"/>
                <w:sz w:val="14"/>
                <w:szCs w:val="14"/>
                <w:color w:val="auto"/>
              </w:rPr>
              <w:t>BXP’s share of lease transaction costs that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qualify as rent inducements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3" w:lineRule="exact"/>
              <w:rPr>
                <w:sz w:val="20"/>
                <w:szCs w:val="20"/>
                <w:color w:val="auto"/>
              </w:rPr>
            </w:pPr>
            <w:r>
              <w:rPr>
                <w:rFonts w:ascii="Arial" w:cs="Arial" w:eastAsia="Arial" w:hAnsi="Arial"/>
                <w:sz w:val="14"/>
                <w:szCs w:val="14"/>
                <w:color w:val="auto"/>
              </w:rPr>
              <w:t>BXP’s share of net operating income/(loss) -</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8,551</w:t>
            </w:r>
          </w:p>
        </w:tc>
        <w:tc>
          <w:tcPr>
            <w:tcW w:w="140" w:type="dxa"/>
            <w:vAlign w:val="bottom"/>
          </w:tcPr>
          <w:p>
            <w:pPr>
              <w:spacing w:after="0"/>
              <w:rPr>
                <w:sz w:val="11"/>
                <w:szCs w:val="11"/>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6,883</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2,241</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4,185</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1,491</w:t>
            </w:r>
          </w:p>
        </w:tc>
        <w:tc>
          <w:tcPr>
            <w:tcW w:w="16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6,217</w:t>
            </w:r>
          </w:p>
        </w:tc>
        <w:tc>
          <w:tcPr>
            <w:tcW w:w="16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29,568</w:t>
            </w:r>
          </w:p>
        </w:tc>
        <w:tc>
          <w:tcPr>
            <w:tcW w:w="0" w:type="dxa"/>
            <w:vAlign w:val="bottom"/>
          </w:tcPr>
          <w:p>
            <w:pPr>
              <w:spacing w:after="0"/>
              <w:rPr>
                <w:sz w:val="1"/>
                <w:szCs w:val="1"/>
                <w:color w:val="auto"/>
              </w:rPr>
            </w:pPr>
          </w:p>
        </w:tc>
      </w:tr>
      <w:tr>
        <w:trPr>
          <w:trHeight w:val="163"/>
        </w:trPr>
        <w:tc>
          <w:tcPr>
            <w:tcW w:w="3200" w:type="dxa"/>
            <w:vAlign w:val="bottom"/>
          </w:tcPr>
          <w:p>
            <w:pPr>
              <w:ind w:left="180"/>
              <w:spacing w:after="0" w:line="158" w:lineRule="exact"/>
              <w:rPr>
                <w:sz w:val="20"/>
                <w:szCs w:val="20"/>
                <w:color w:val="auto"/>
              </w:rPr>
            </w:pPr>
            <w:r>
              <w:rPr>
                <w:rFonts w:ascii="Arial" w:cs="Arial" w:eastAsia="Arial" w:hAnsi="Arial"/>
                <w:sz w:val="14"/>
                <w:szCs w:val="14"/>
                <w:color w:val="auto"/>
              </w:rPr>
              <w:t>cash (excluding termination income)</w:t>
            </w:r>
          </w:p>
        </w:tc>
        <w:tc>
          <w:tcPr>
            <w:tcW w:w="1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Revenue</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14,126</w:t>
            </w:r>
          </w:p>
        </w:tc>
        <w:tc>
          <w:tcPr>
            <w:tcW w:w="14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10,608</w:t>
            </w:r>
          </w:p>
        </w:tc>
        <w:tc>
          <w:tcPr>
            <w:tcW w:w="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8,336</w:t>
            </w:r>
          </w:p>
        </w:tc>
        <w:tc>
          <w:tcPr>
            <w:tcW w:w="160" w:type="dxa"/>
            <w:vAlign w:val="bottom"/>
            <w:vMerge w:val="continue"/>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8,993</w:t>
            </w:r>
          </w:p>
        </w:tc>
        <w:tc>
          <w:tcPr>
            <w:tcW w:w="160" w:type="dxa"/>
            <w:vAlign w:val="bottom"/>
            <w:vMerge w:val="continue"/>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3,302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9,444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54,809</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development and</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management services revenue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revenue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14,128</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10,608</w:t>
            </w:r>
          </w:p>
        </w:tc>
        <w:tc>
          <w:tcPr>
            <w:tcW w:w="16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8,589</w:t>
            </w:r>
          </w:p>
        </w:tc>
        <w:tc>
          <w:tcPr>
            <w:tcW w:w="16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8,993</w:t>
            </w:r>
          </w:p>
        </w:tc>
        <w:tc>
          <w:tcPr>
            <w:tcW w:w="160" w:type="dxa"/>
            <w:vAlign w:val="bottom"/>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3,302</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9,447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55,067</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062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80" w:hanging="72"/>
        <w:spacing w:after="0"/>
        <w:tabs>
          <w:tab w:leader="none" w:pos="80" w:val="left"/>
        </w:tabs>
        <w:numPr>
          <w:ilvl w:val="0"/>
          <w:numId w:val="125"/>
        </w:numPr>
        <w:rPr>
          <w:rFonts w:ascii="Arial" w:cs="Arial" w:eastAsia="Arial" w:hAnsi="Arial"/>
          <w:sz w:val="19"/>
          <w:szCs w:val="19"/>
          <w:color w:val="auto"/>
          <w:vertAlign w:val="superscript"/>
        </w:rPr>
      </w:pPr>
      <w:r>
        <w:rPr>
          <w:rFonts w:ascii="Arial" w:cs="Arial" w:eastAsia="Arial" w:hAnsi="Arial"/>
          <w:sz w:val="14"/>
          <w:szCs w:val="14"/>
          <w:color w:val="auto"/>
        </w:rPr>
        <w:t>For information on the properties included for each region and the Company’s percentage ownership in each property, see pages 22-25.</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Lease revenue includes recoveries from clients and service income from clients.</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See the Definitions and Reconciliations sections of this Supplemental package starting on page 57.</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Includes approximately $276 of straight-line ground rent expense.</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The Company’s purchase price allocation under ASC 805 for certain joint ventures differs from the historical basis of the venture.</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265" w:right="339" w:bottom="1440" w:gutter="0" w:footer="0" w:header="0"/>
          <w:type w:val="continuous"/>
        </w:sectPr>
      </w:pPr>
    </w:p>
    <w:bookmarkStart w:id="74" w:name="page75"/>
    <w:bookmarkEnd w:id="74"/>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Net income attributable to BXP, Inc. to</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BXP’s Share of same property net operating income (NOI)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30-Jun-24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30-Jun-23</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20"/>
                <w:szCs w:val="20"/>
                <w:color w:val="auto"/>
              </w:rPr>
            </w:pPr>
            <w:r>
              <w:rPr>
                <w:rFonts w:ascii="Arial" w:cs="Arial" w:eastAsia="Arial" w:hAnsi="Arial"/>
                <w:sz w:val="14"/>
                <w:szCs w:val="14"/>
                <w:color w:val="auto"/>
              </w:rPr>
              <w:t>Net income attributable to BXP,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79,615</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104,299</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40" w:type="dxa"/>
            <w:vAlign w:val="bottom"/>
          </w:tcPr>
          <w:p>
            <w:pPr>
              <w:ind w:left="24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9,509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12,117</w:t>
            </w:r>
          </w:p>
        </w:tc>
        <w:tc>
          <w:tcPr>
            <w:tcW w:w="0" w:type="dxa"/>
            <w:vAlign w:val="bottom"/>
          </w:tcPr>
          <w:p>
            <w:pPr>
              <w:spacing w:after="0"/>
              <w:rPr>
                <w:sz w:val="1"/>
                <w:szCs w:val="1"/>
                <w:color w:val="auto"/>
              </w:rPr>
            </w:pPr>
          </w:p>
        </w:tc>
      </w:tr>
      <w:tr>
        <w:trPr>
          <w:trHeight w:val="204"/>
        </w:trPr>
        <w:tc>
          <w:tcPr>
            <w:tcW w:w="8040" w:type="dxa"/>
            <w:vAlign w:val="bottom"/>
          </w:tcPr>
          <w:p>
            <w:pPr>
              <w:ind w:left="240"/>
              <w:spacing w:after="0"/>
              <w:rPr>
                <w:sz w:val="20"/>
                <w:szCs w:val="20"/>
                <w:color w:val="auto"/>
              </w:rPr>
            </w:pPr>
            <w:r>
              <w:rPr>
                <w:rFonts w:ascii="Arial" w:cs="Arial" w:eastAsia="Arial" w:hAnsi="Arial"/>
                <w:sz w:val="14"/>
                <w:szCs w:val="14"/>
                <w:color w:val="auto"/>
              </w:rPr>
              <w:t>Noncontrolling interest in property partnerships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17,825</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19,768</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106,949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136,184</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149,642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142,473</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5,799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219,542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202,577</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Transaction costs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44,109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44,175</w:t>
            </w:r>
          </w:p>
        </w:tc>
        <w:tc>
          <w:tcPr>
            <w:tcW w:w="0" w:type="dxa"/>
            <w:vAlign w:val="bottom"/>
          </w:tcPr>
          <w:p>
            <w:pPr>
              <w:spacing w:after="0"/>
              <w:rPr>
                <w:sz w:val="1"/>
                <w:szCs w:val="1"/>
                <w:color w:val="auto"/>
              </w:rPr>
            </w:pPr>
          </w:p>
        </w:tc>
      </w:tr>
      <w:tr>
        <w:trPr>
          <w:trHeight w:val="202"/>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Interest and other income (loss)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10,788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17,343</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Unrealized gain on non-real estate investment</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Gains from investments in securities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204"/>
        </w:trPr>
        <w:tc>
          <w:tcPr>
            <w:tcW w:w="8040" w:type="dxa"/>
            <w:vAlign w:val="bottom"/>
          </w:tcPr>
          <w:p>
            <w:pPr>
              <w:ind w:left="50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6,352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508,717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503,489</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31,587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42,254</w:t>
            </w:r>
          </w:p>
        </w:tc>
        <w:tc>
          <w:tcPr>
            <w:tcW w:w="0" w:type="dxa"/>
            <w:vAlign w:val="bottom"/>
          </w:tcPr>
          <w:p>
            <w:pPr>
              <w:spacing w:after="0"/>
              <w:rPr>
                <w:sz w:val="1"/>
                <w:szCs w:val="1"/>
                <w:color w:val="auto"/>
              </w:rPr>
            </w:pPr>
          </w:p>
        </w:tc>
      </w:tr>
      <w:tr>
        <w:trPr>
          <w:trHeight w:val="202"/>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consolidated joint ventures (after income allocation to private REIT shareholders)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47,391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47,958</w:t>
            </w:r>
          </w:p>
        </w:tc>
        <w:tc>
          <w:tcPr>
            <w:tcW w:w="0" w:type="dxa"/>
            <w:vAlign w:val="bottom"/>
          </w:tcPr>
          <w:p>
            <w:pPr>
              <w:spacing w:after="0"/>
              <w:rPr>
                <w:sz w:val="1"/>
                <w:szCs w:val="1"/>
                <w:color w:val="auto"/>
              </w:rPr>
            </w:pP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auto"/>
              </w:rPr>
              <w:t>BXP’s Share of NOI</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492,913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497,785</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termination income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3,113</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termination income from consolidated joint ventures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0"/>
        </w:trPr>
        <w:tc>
          <w:tcPr>
            <w:tcW w:w="8040" w:type="dxa"/>
            <w:vAlign w:val="bottom"/>
          </w:tcPr>
          <w:p>
            <w:pPr>
              <w:spacing w:after="0"/>
              <w:rPr>
                <w:sz w:val="20"/>
                <w:szCs w:val="20"/>
                <w:color w:val="auto"/>
              </w:rPr>
            </w:pPr>
            <w:r>
              <w:rPr>
                <w:rFonts w:ascii="Arial" w:cs="Arial" w:eastAsia="Arial" w:hAnsi="Arial"/>
                <w:sz w:val="14"/>
                <w:szCs w:val="14"/>
                <w:color w:val="auto"/>
              </w:rPr>
              <w:t>BXP’s Share of NOI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492,112</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494,560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804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508,717</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503,489</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4"/>
        </w:trPr>
        <w:tc>
          <w:tcPr>
            <w:tcW w:w="8040" w:type="dxa"/>
            <w:vAlign w:val="bottom"/>
          </w:tcPr>
          <w:p>
            <w:pPr>
              <w:ind w:left="500"/>
              <w:spacing w:after="0"/>
              <w:rPr>
                <w:sz w:val="20"/>
                <w:szCs w:val="20"/>
                <w:color w:val="auto"/>
              </w:rPr>
            </w:pPr>
            <w:r>
              <w:rPr>
                <w:rFonts w:ascii="Arial" w:cs="Arial" w:eastAsia="Arial" w:hAnsi="Arial"/>
                <w:sz w:val="14"/>
                <w:szCs w:val="14"/>
                <w:color w:val="auto"/>
              </w:rPr>
              <w:t>NOI from non Same Properties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28,364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4"/>
                <w:szCs w:val="14"/>
                <w:color w:val="auto"/>
              </w:rPr>
              <w:t>Same Property NOI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479,512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500,490</w:t>
            </w:r>
          </w:p>
        </w:tc>
        <w:tc>
          <w:tcPr>
            <w:tcW w:w="0" w:type="dxa"/>
            <w:vAlign w:val="bottom"/>
          </w:tcPr>
          <w:p>
            <w:pPr>
              <w:spacing w:after="0"/>
              <w:rPr>
                <w:sz w:val="1"/>
                <w:szCs w:val="1"/>
                <w:color w:val="auto"/>
              </w:rPr>
            </w:pPr>
          </w:p>
        </w:tc>
      </w:tr>
      <w:tr>
        <w:trPr>
          <w:trHeight w:val="202"/>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consolidated joint ventures (excluding termination income and after income allocation</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47,351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48,234</w:t>
            </w:r>
          </w:p>
        </w:tc>
        <w:tc>
          <w:tcPr>
            <w:tcW w:w="0" w:type="dxa"/>
            <w:vAlign w:val="bottom"/>
          </w:tcPr>
          <w:p>
            <w:pPr>
              <w:spacing w:after="0"/>
              <w:rPr>
                <w:sz w:val="1"/>
                <w:szCs w:val="1"/>
                <w:color w:val="auto"/>
              </w:rPr>
            </w:pPr>
          </w:p>
        </w:tc>
      </w:tr>
      <w:tr>
        <w:trPr>
          <w:trHeight w:val="189"/>
        </w:trPr>
        <w:tc>
          <w:tcPr>
            <w:tcW w:w="8040" w:type="dxa"/>
            <w:vAlign w:val="bottom"/>
          </w:tcPr>
          <w:p>
            <w:pPr>
              <w:ind w:left="660"/>
              <w:spacing w:after="0"/>
              <w:rPr>
                <w:sz w:val="20"/>
                <w:szCs w:val="20"/>
                <w:color w:val="auto"/>
              </w:rPr>
            </w:pPr>
            <w:r>
              <w:rPr>
                <w:rFonts w:ascii="Arial" w:cs="Arial" w:eastAsia="Arial" w:hAnsi="Arial"/>
                <w:sz w:val="14"/>
                <w:szCs w:val="14"/>
                <w:color w:val="auto"/>
              </w:rPr>
              <w:t>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non Same Properties from consolidated joint ventures (excluding termination income</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40" w:type="dxa"/>
            <w:vAlign w:val="bottom"/>
          </w:tcPr>
          <w:p>
            <w:pPr>
              <w:ind w:left="660"/>
              <w:spacing w:after="0"/>
              <w:rPr>
                <w:sz w:val="20"/>
                <w:szCs w:val="20"/>
                <w:color w:val="auto"/>
              </w:rPr>
            </w:pPr>
            <w:r>
              <w:rPr>
                <w:rFonts w:ascii="Arial" w:cs="Arial" w:eastAsia="Arial" w:hAnsi="Arial"/>
                <w:sz w:val="14"/>
                <w:szCs w:val="14"/>
                <w:color w:val="auto"/>
              </w:rPr>
              <w:t>and after income 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unconsolidated joint ventures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31,587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39,141</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non Same Properties from unconsolidated joint ventures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8,509</w:t>
            </w:r>
          </w:p>
        </w:tc>
        <w:tc>
          <w:tcPr>
            <w:tcW w:w="0" w:type="dxa"/>
            <w:vAlign w:val="bottom"/>
          </w:tcPr>
          <w:p>
            <w:pPr>
              <w:spacing w:after="0"/>
              <w:rPr>
                <w:sz w:val="1"/>
                <w:szCs w:val="1"/>
                <w:color w:val="auto"/>
              </w:rPr>
            </w:pPr>
          </w:p>
        </w:tc>
      </w:tr>
      <w:tr>
        <w:trPr>
          <w:trHeight w:val="200"/>
        </w:trPr>
        <w:tc>
          <w:tcPr>
            <w:tcW w:w="8040" w:type="dxa"/>
            <w:vAlign w:val="bottom"/>
          </w:tcPr>
          <w:p>
            <w:pPr>
              <w:spacing w:after="0"/>
              <w:rPr>
                <w:sz w:val="20"/>
                <w:szCs w:val="20"/>
                <w:color w:val="auto"/>
              </w:rPr>
            </w:pPr>
            <w:r>
              <w:rPr>
                <w:rFonts w:ascii="Arial" w:cs="Arial" w:eastAsia="Arial" w:hAnsi="Arial"/>
                <w:sz w:val="14"/>
                <w:szCs w:val="14"/>
                <w:color w:val="auto"/>
              </w:rPr>
              <w:t>BXP’s Share of Same Property NOI (excluding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461,778</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482,888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8040" w:type="dxa"/>
            <w:vAlign w:val="bottom"/>
          </w:tcPr>
          <w:p>
            <w:pPr>
              <w:spacing w:after="0"/>
              <w:rPr>
                <w:sz w:val="20"/>
                <w:szCs w:val="20"/>
                <w:color w:val="auto"/>
              </w:rPr>
            </w:pPr>
            <w:r>
              <w:rPr>
                <w:rFonts w:ascii="Arial" w:cs="Arial" w:eastAsia="Arial" w:hAnsi="Arial"/>
                <w:sz w:val="14"/>
                <w:szCs w:val="14"/>
                <w:color w:val="auto"/>
              </w:rPr>
              <w:t>Change in BXP’s Share of Same Property NOI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40" w:type="dxa"/>
            <w:vAlign w:val="bottom"/>
          </w:tcPr>
          <w:p>
            <w:pPr>
              <w:spacing w:after="0"/>
              <w:rPr>
                <w:sz w:val="20"/>
                <w:szCs w:val="20"/>
                <w:color w:val="auto"/>
              </w:rPr>
            </w:pPr>
            <w:r>
              <w:rPr>
                <w:rFonts w:ascii="Arial" w:cs="Arial" w:eastAsia="Arial" w:hAnsi="Arial"/>
                <w:sz w:val="14"/>
                <w:szCs w:val="14"/>
                <w:color w:val="auto"/>
              </w:rPr>
              <w:t>Change in BXP’s Share of Same Property NOI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26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Q3 2024</w:t>
            </w:r>
          </w:p>
        </w:tc>
        <w:tc>
          <w:tcPr>
            <w:tcW w:w="0" w:type="dxa"/>
            <w:vAlign w:val="bottom"/>
          </w:tcPr>
          <w:p>
            <w:pPr>
              <w:spacing w:after="0"/>
              <w:rPr>
                <w:sz w:val="1"/>
                <w:szCs w:val="1"/>
                <w:color w:val="auto"/>
              </w:rPr>
            </w:pPr>
          </w:p>
        </w:tc>
      </w:tr>
      <w:tr>
        <w:trPr>
          <w:trHeight w:val="245"/>
        </w:trPr>
        <w:tc>
          <w:tcPr>
            <w:tcW w:w="80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0497F"/>
              </w:rPr>
              <w:t>Reconciliations (continued)</w:t>
            </w:r>
          </w:p>
        </w:tc>
        <w:tc>
          <w:tcPr>
            <w:tcW w:w="0" w:type="dxa"/>
            <w:vAlign w:val="bottom"/>
          </w:tcPr>
          <w:p>
            <w:pPr>
              <w:spacing w:after="0"/>
              <w:rPr>
                <w:sz w:val="1"/>
                <w:szCs w:val="1"/>
                <w:color w:val="auto"/>
              </w:rPr>
            </w:pPr>
          </w:p>
        </w:tc>
      </w:tr>
      <w:tr>
        <w:trPr>
          <w:trHeight w:val="706"/>
        </w:trPr>
        <w:tc>
          <w:tcPr>
            <w:tcW w:w="8060" w:type="dxa"/>
            <w:vAlign w:val="bottom"/>
          </w:tcPr>
          <w:p>
            <w:pPr>
              <w:spacing w:after="0"/>
              <w:rPr>
                <w:sz w:val="20"/>
                <w:szCs w:val="20"/>
                <w:color w:val="auto"/>
              </w:rPr>
            </w:pPr>
            <w:r>
              <w:rPr>
                <w:rFonts w:ascii="Arial" w:cs="Arial" w:eastAsia="Arial" w:hAnsi="Arial"/>
                <w:sz w:val="14"/>
                <w:szCs w:val="14"/>
                <w:b w:val="1"/>
                <w:bCs w:val="1"/>
                <w:color w:val="auto"/>
              </w:rPr>
              <w:t>Reconciliation of Net income attributable to BXP, Inc. to</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Arial" w:cs="Arial" w:eastAsia="Arial" w:hAnsi="Arial"/>
                <w:sz w:val="14"/>
                <w:szCs w:val="14"/>
                <w:b w:val="1"/>
                <w:bCs w:val="1"/>
                <w:color w:val="auto"/>
              </w:rPr>
              <w:t>BXP’s Share of same property net operating income (NOI) - cash</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30-Jun-24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30-Jun-23</w:t>
            </w: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79,615</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104,299</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9,509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12,117</w:t>
            </w:r>
          </w:p>
        </w:tc>
        <w:tc>
          <w:tcPr>
            <w:tcW w:w="0" w:type="dxa"/>
            <w:vAlign w:val="bottom"/>
          </w:tcPr>
          <w:p>
            <w:pPr>
              <w:spacing w:after="0"/>
              <w:rPr>
                <w:sz w:val="1"/>
                <w:szCs w:val="1"/>
                <w:color w:val="auto"/>
              </w:rPr>
            </w:pPr>
          </w:p>
        </w:tc>
      </w:tr>
      <w:tr>
        <w:trPr>
          <w:trHeight w:val="204"/>
        </w:trPr>
        <w:tc>
          <w:tcPr>
            <w:tcW w:w="806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17,825</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19,768</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106,949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136,184</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149,642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142,473</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5,799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219,542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202,577</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44,109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44,175</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Interest and other income (loss)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10,788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17,343</w:t>
            </w:r>
          </w:p>
        </w:tc>
        <w:tc>
          <w:tcPr>
            <w:tcW w:w="0" w:type="dxa"/>
            <w:vAlign w:val="bottom"/>
          </w:tcPr>
          <w:p>
            <w:pPr>
              <w:spacing w:after="0"/>
              <w:rPr>
                <w:sz w:val="1"/>
                <w:szCs w:val="1"/>
                <w:color w:val="auto"/>
              </w:rPr>
            </w:pPr>
          </w:p>
        </w:tc>
      </w:tr>
      <w:tr>
        <w:trPr>
          <w:trHeight w:val="202"/>
        </w:trPr>
        <w:tc>
          <w:tcPr>
            <w:tcW w:w="806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Gains from investments in securities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204"/>
        </w:trPr>
        <w:tc>
          <w:tcPr>
            <w:tcW w:w="806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6,352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508,717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503,489</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480"/>
              <w:spacing w:after="0"/>
              <w:rPr>
                <w:sz w:val="20"/>
                <w:szCs w:val="20"/>
                <w:color w:val="auto"/>
              </w:rPr>
            </w:pPr>
            <w:r>
              <w:rPr>
                <w:rFonts w:ascii="Arial" w:cs="Arial" w:eastAsia="Arial" w:hAnsi="Arial"/>
                <w:sz w:val="14"/>
                <w:szCs w:val="14"/>
                <w:color w:val="auto"/>
              </w:rPr>
              <w:t>Straight-line rent</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16,094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26,493</w:t>
            </w:r>
          </w:p>
        </w:tc>
        <w:tc>
          <w:tcPr>
            <w:tcW w:w="0" w:type="dxa"/>
            <w:vAlign w:val="bottom"/>
          </w:tcPr>
          <w:p>
            <w:pPr>
              <w:spacing w:after="0"/>
              <w:rPr>
                <w:sz w:val="1"/>
                <w:szCs w:val="1"/>
                <w:color w:val="auto"/>
              </w:rPr>
            </w:pPr>
          </w:p>
        </w:tc>
      </w:tr>
      <w:tr>
        <w:trPr>
          <w:trHeight w:val="202"/>
        </w:trPr>
        <w:tc>
          <w:tcPr>
            <w:tcW w:w="806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1,363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5,850</w:t>
            </w:r>
          </w:p>
        </w:tc>
        <w:tc>
          <w:tcPr>
            <w:tcW w:w="0" w:type="dxa"/>
            <w:vAlign w:val="bottom"/>
          </w:tcPr>
          <w:p>
            <w:pPr>
              <w:spacing w:after="0"/>
              <w:rPr>
                <w:sz w:val="1"/>
                <w:szCs w:val="1"/>
                <w:color w:val="auto"/>
              </w:rPr>
            </w:pPr>
          </w:p>
        </w:tc>
      </w:tr>
      <w:tr>
        <w:trPr>
          <w:trHeight w:val="203"/>
        </w:trPr>
        <w:tc>
          <w:tcPr>
            <w:tcW w:w="8060" w:type="dxa"/>
            <w:vAlign w:val="bottom"/>
          </w:tcPr>
          <w:p>
            <w:pPr>
              <w:ind w:left="480"/>
              <w:spacing w:after="0"/>
              <w:rPr>
                <w:sz w:val="20"/>
                <w:szCs w:val="20"/>
                <w:color w:val="auto"/>
              </w:rPr>
            </w:pPr>
            <w:r>
              <w:rPr>
                <w:rFonts w:ascii="Arial" w:cs="Arial" w:eastAsia="Arial" w:hAnsi="Arial"/>
                <w:sz w:val="14"/>
                <w:szCs w:val="14"/>
                <w:color w:val="auto"/>
              </w:rPr>
              <w:t>Amortization and accretion related to sales type lease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3"/>
        </w:trPr>
        <w:tc>
          <w:tcPr>
            <w:tcW w:w="8060" w:type="dxa"/>
            <w:vAlign w:val="bottom"/>
          </w:tcPr>
          <w:p>
            <w:pPr>
              <w:ind w:left="48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60" w:type="dxa"/>
            <w:vAlign w:val="bottom"/>
          </w:tcPr>
          <w:p>
            <w:pPr>
              <w:ind w:left="480"/>
              <w:spacing w:after="0"/>
              <w:rPr>
                <w:sz w:val="20"/>
                <w:szCs w:val="20"/>
                <w:color w:val="auto"/>
              </w:rPr>
            </w:pPr>
            <w:r>
              <w:rPr>
                <w:rFonts w:ascii="Arial" w:cs="Arial" w:eastAsia="Arial" w:hAnsi="Arial"/>
                <w:sz w:val="14"/>
                <w:szCs w:val="14"/>
                <w:color w:val="auto"/>
              </w:rPr>
              <w:t xml:space="preserve">Straight-line ground rent expense adjustment </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1"/>
        </w:trPr>
        <w:tc>
          <w:tcPr>
            <w:tcW w:w="8060" w:type="dxa"/>
            <w:vAlign w:val="bottom"/>
          </w:tcPr>
          <w:p>
            <w:pPr>
              <w:ind w:left="480"/>
              <w:spacing w:after="0" w:line="201" w:lineRule="exact"/>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3,471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w:t>
            </w:r>
          </w:p>
        </w:tc>
        <w:tc>
          <w:tcPr>
            <w:tcW w:w="0" w:type="dxa"/>
            <w:vAlign w:val="bottom"/>
          </w:tcPr>
          <w:p>
            <w:pPr>
              <w:spacing w:after="0"/>
              <w:rPr>
                <w:sz w:val="1"/>
                <w:szCs w:val="1"/>
                <w:color w:val="auto"/>
              </w:rPr>
            </w:pPr>
          </w:p>
        </w:tc>
      </w:tr>
      <w:tr>
        <w:trPr>
          <w:trHeight w:val="188"/>
        </w:trPr>
        <w:tc>
          <w:tcPr>
            <w:tcW w:w="8060" w:type="dxa"/>
            <w:vAlign w:val="bottom"/>
          </w:tcPr>
          <w:p>
            <w:pPr>
              <w:ind w:left="20"/>
              <w:spacing w:after="0"/>
              <w:rPr>
                <w:sz w:val="20"/>
                <w:szCs w:val="20"/>
                <w:color w:val="auto"/>
              </w:rPr>
            </w:pPr>
            <w:r>
              <w:rPr>
                <w:rFonts w:ascii="Arial" w:cs="Arial" w:eastAsia="Arial" w:hAnsi="Arial"/>
                <w:sz w:val="14"/>
                <w:szCs w:val="14"/>
                <w:color w:val="auto"/>
              </w:rPr>
              <w:t>NOI - cash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494,229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475,061</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60" w:type="dxa"/>
            <w:vAlign w:val="bottom"/>
          </w:tcPr>
          <w:p>
            <w:pPr>
              <w:ind w:left="520"/>
              <w:spacing w:after="0"/>
              <w:rPr>
                <w:sz w:val="20"/>
                <w:szCs w:val="20"/>
                <w:color w:val="auto"/>
              </w:rPr>
            </w:pPr>
            <w:r>
              <w:rPr>
                <w:rFonts w:ascii="Arial" w:cs="Arial" w:eastAsia="Arial" w:hAnsi="Arial"/>
                <w:sz w:val="14"/>
                <w:szCs w:val="14"/>
                <w:color w:val="auto"/>
              </w:rPr>
              <w:t>NOI - cash from non Same Properties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30,456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Same Property NOI - cash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463,773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476,715</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520"/>
              <w:spacing w:after="0"/>
              <w:rPr>
                <w:sz w:val="20"/>
                <w:szCs w:val="20"/>
                <w:color w:val="auto"/>
              </w:rPr>
            </w:pPr>
            <w:r>
              <w:rPr>
                <w:rFonts w:ascii="Arial" w:cs="Arial" w:eastAsia="Arial" w:hAnsi="Arial"/>
                <w:sz w:val="14"/>
                <w:szCs w:val="14"/>
                <w:color w:val="auto"/>
              </w:rPr>
              <w:t>Partners’ share of NOI - cash from consolidated joint ventures (excluding termination income and after income</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45,068</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43,732</w:t>
            </w:r>
          </w:p>
        </w:tc>
        <w:tc>
          <w:tcPr>
            <w:tcW w:w="0" w:type="dxa"/>
            <w:vAlign w:val="bottom"/>
          </w:tcPr>
          <w:p>
            <w:pPr>
              <w:spacing w:after="0"/>
              <w:rPr>
                <w:sz w:val="1"/>
                <w:szCs w:val="1"/>
                <w:color w:val="auto"/>
              </w:rPr>
            </w:pPr>
          </w:p>
        </w:tc>
      </w:tr>
      <w:tr>
        <w:trPr>
          <w:trHeight w:val="189"/>
        </w:trPr>
        <w:tc>
          <w:tcPr>
            <w:tcW w:w="8060" w:type="dxa"/>
            <w:vAlign w:val="bottom"/>
          </w:tcPr>
          <w:p>
            <w:pPr>
              <w:ind w:left="680"/>
              <w:spacing w:after="0"/>
              <w:rPr>
                <w:sz w:val="20"/>
                <w:szCs w:val="20"/>
                <w:color w:val="auto"/>
              </w:rPr>
            </w:pPr>
            <w:r>
              <w:rPr>
                <w:rFonts w:ascii="Arial" w:cs="Arial" w:eastAsia="Arial" w:hAnsi="Arial"/>
                <w:sz w:val="14"/>
                <w:szCs w:val="14"/>
                <w:color w:val="auto"/>
              </w:rPr>
              <w:t>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520"/>
              <w:spacing w:after="0"/>
              <w:rPr>
                <w:sz w:val="20"/>
                <w:szCs w:val="20"/>
                <w:color w:val="auto"/>
              </w:rPr>
            </w:pPr>
            <w:r>
              <w:rPr>
                <w:rFonts w:ascii="Arial" w:cs="Arial" w:eastAsia="Arial" w:hAnsi="Arial"/>
                <w:sz w:val="14"/>
                <w:szCs w:val="14"/>
                <w:color w:val="auto"/>
              </w:rPr>
              <w:t>Partners’ share of NOI - cash from non Same Properties from consolidated joint ventures (excluding termination</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60" w:type="dxa"/>
            <w:vAlign w:val="bottom"/>
          </w:tcPr>
          <w:p>
            <w:pPr>
              <w:ind w:left="680"/>
              <w:spacing w:after="0"/>
              <w:rPr>
                <w:sz w:val="20"/>
                <w:szCs w:val="20"/>
                <w:color w:val="auto"/>
              </w:rPr>
            </w:pPr>
            <w:r>
              <w:rPr>
                <w:rFonts w:ascii="Arial" w:cs="Arial" w:eastAsia="Arial" w:hAnsi="Arial"/>
                <w:sz w:val="14"/>
                <w:szCs w:val="14"/>
                <w:color w:val="auto"/>
              </w:rPr>
              <w:t>income and after income 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520"/>
              <w:spacing w:after="0"/>
              <w:rPr>
                <w:sz w:val="20"/>
                <w:szCs w:val="20"/>
                <w:color w:val="auto"/>
              </w:rPr>
            </w:pPr>
            <w:r>
              <w:rPr>
                <w:rFonts w:ascii="Arial" w:cs="Arial" w:eastAsia="Arial" w:hAnsi="Arial"/>
                <w:sz w:val="14"/>
                <w:szCs w:val="14"/>
                <w:color w:val="auto"/>
              </w:rPr>
              <w:t>BXP’s share of NOI - cash from unconsolidated joint ventures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27,473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35,250</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520"/>
              <w:spacing w:after="0"/>
              <w:rPr>
                <w:sz w:val="20"/>
                <w:szCs w:val="20"/>
                <w:color w:val="auto"/>
              </w:rPr>
            </w:pPr>
            <w:r>
              <w:rPr>
                <w:rFonts w:ascii="Arial" w:cs="Arial" w:eastAsia="Arial" w:hAnsi="Arial"/>
                <w:sz w:val="14"/>
                <w:szCs w:val="14"/>
                <w:color w:val="auto"/>
              </w:rPr>
              <w:t>BXP’s share of NOI - cash from non Same Properties from unconsolidated joint ventures (excluding termination</w:t>
            </w:r>
          </w:p>
        </w:tc>
        <w:tc>
          <w:tcPr>
            <w:tcW w:w="260" w:type="dxa"/>
            <w:vAlign w:val="bottom"/>
          </w:tcPr>
          <w:p>
            <w:pPr>
              <w:spacing w:after="0"/>
              <w:rPr>
                <w:sz w:val="13"/>
                <w:szCs w:val="13"/>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7,103</w:t>
            </w:r>
          </w:p>
        </w:tc>
        <w:tc>
          <w:tcPr>
            <w:tcW w:w="0" w:type="dxa"/>
            <w:vAlign w:val="bottom"/>
          </w:tcPr>
          <w:p>
            <w:pPr>
              <w:spacing w:after="0"/>
              <w:rPr>
                <w:sz w:val="1"/>
                <w:szCs w:val="1"/>
                <w:color w:val="auto"/>
              </w:rPr>
            </w:pPr>
          </w:p>
        </w:tc>
      </w:tr>
      <w:tr>
        <w:trPr>
          <w:trHeight w:val="185"/>
        </w:trPr>
        <w:tc>
          <w:tcPr>
            <w:tcW w:w="8060" w:type="dxa"/>
            <w:vAlign w:val="bottom"/>
          </w:tcPr>
          <w:p>
            <w:pPr>
              <w:ind w:left="680"/>
              <w:spacing w:after="0"/>
              <w:rPr>
                <w:sz w:val="20"/>
                <w:szCs w:val="20"/>
                <w:color w:val="auto"/>
              </w:rPr>
            </w:pPr>
            <w:r>
              <w:rPr>
                <w:rFonts w:ascii="Arial" w:cs="Arial" w:eastAsia="Arial" w:hAnsi="Arial"/>
                <w:sz w:val="14"/>
                <w:szCs w:val="14"/>
                <w:color w:val="auto"/>
              </w:rPr>
              <w:t>income)</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60" w:type="dxa"/>
            <w:vAlign w:val="bottom"/>
          </w:tcPr>
          <w:p>
            <w:pPr>
              <w:ind w:left="20"/>
              <w:spacing w:after="0"/>
              <w:rPr>
                <w:sz w:val="20"/>
                <w:szCs w:val="20"/>
                <w:color w:val="auto"/>
              </w:rPr>
            </w:pPr>
            <w:r>
              <w:rPr>
                <w:rFonts w:ascii="Arial" w:cs="Arial" w:eastAsia="Arial" w:hAnsi="Arial"/>
                <w:sz w:val="14"/>
                <w:szCs w:val="14"/>
                <w:color w:val="auto"/>
              </w:rPr>
              <w:t>BXP’s Share of Same Property NOI - cash (excluding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446,202</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461,130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8060" w:type="dxa"/>
            <w:vAlign w:val="bottom"/>
          </w:tcPr>
          <w:p>
            <w:pPr>
              <w:ind w:left="20"/>
              <w:spacing w:after="0"/>
              <w:rPr>
                <w:sz w:val="20"/>
                <w:szCs w:val="20"/>
                <w:color w:val="auto"/>
              </w:rPr>
            </w:pPr>
            <w:r>
              <w:rPr>
                <w:rFonts w:ascii="Arial" w:cs="Arial" w:eastAsia="Arial" w:hAnsi="Arial"/>
                <w:sz w:val="14"/>
                <w:szCs w:val="14"/>
                <w:color w:val="auto"/>
              </w:rPr>
              <w:t>Change in BXP’s Share of Same Property NOI - cash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(14,928)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Change in BXP’s Share of Same Property NOI - cash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-6951345</wp:posOffset>
            </wp:positionV>
            <wp:extent cx="25717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42" w:lineRule="exact"/>
        <w:rPr>
          <w:sz w:val="20"/>
          <w:szCs w:val="20"/>
          <w:color w:val="auto"/>
        </w:rPr>
      </w:pPr>
    </w:p>
    <w:p>
      <w:pPr>
        <w:ind w:left="80" w:right="20" w:hanging="72"/>
        <w:spacing w:after="0" w:line="253" w:lineRule="auto"/>
        <w:tabs>
          <w:tab w:leader="none" w:pos="78" w:val="left"/>
        </w:tabs>
        <w:numPr>
          <w:ilvl w:val="0"/>
          <w:numId w:val="126"/>
        </w:numPr>
        <w:rPr>
          <w:rFonts w:ascii="Arial" w:cs="Arial" w:eastAsia="Arial" w:hAnsi="Arial"/>
          <w:sz w:val="18"/>
          <w:szCs w:val="18"/>
          <w:color w:val="auto"/>
          <w:vertAlign w:val="superscript"/>
        </w:rPr>
      </w:pPr>
      <w:r>
        <w:rPr>
          <w:rFonts w:ascii="Arial" w:cs="Arial" w:eastAsia="Arial" w:hAnsi="Arial"/>
          <w:sz w:val="14"/>
          <w:szCs w:val="14"/>
          <w:color w:val="auto"/>
        </w:rPr>
        <w:t>In light of the front-ended, uneven rental payments required by the Company’s 99-year ground and air rights lease for the 100 Clarendon Street garage and Back Bay Transit Station in Boston, MA, and to make period-to-period comparisons more meaningful to investors, the adjustment does not include the straight-line impact of approximately $4 and $91 for the three months ended June 30, 2024 and 2023, respectively. As of June 30, 2024, the Company has remaining lease payments aggregating approximately $31.2 million, all of which it expects to incur by the end of 2026 with no payments thereafter. Under GAAP, the Company recognizes expense of $(111) per quarter on a straight-line basis over the term of the lease. However, unlike more traditional ground and air rights leases, the timing and amounts of the rental payments by the Company correlate to the uneven timing and funding by the Company of capital expenditures related to improvements at Back Bay Transit Station. As a result, the amounts excluded from the adjustment each quarter through 2026 may vary significantly.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80" w:type="dxa"/>
            <w:vAlign w:val="bottom"/>
          </w:tcPr>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Consists of lease transaction costs that qualify as rent inducements in accordance with GAAP.</w:t>
            </w:r>
          </w:p>
        </w:tc>
        <w:tc>
          <w:tcPr>
            <w:tcW w:w="2660" w:type="dxa"/>
            <w:vAlign w:val="bottom"/>
          </w:tcPr>
          <w:p>
            <w:pPr>
              <w:jc w:val="right"/>
              <w:spacing w:after="0"/>
              <w:rPr>
                <w:sz w:val="20"/>
                <w:szCs w:val="20"/>
                <w:color w:val="auto"/>
              </w:rPr>
            </w:pPr>
            <w:r>
              <w:rPr>
                <w:rFonts w:ascii="Arial" w:cs="Arial" w:eastAsia="Arial" w:hAnsi="Arial"/>
                <w:sz w:val="14"/>
                <w:szCs w:val="14"/>
                <w:color w:val="auto"/>
              </w:rPr>
              <w:t>68</w:t>
            </w:r>
          </w:p>
        </w:tc>
      </w:tr>
    </w:tbl>
    <w:p>
      <w:pPr>
        <w:sectPr>
          <w:pgSz w:w="11900" w:h="16838" w:orient="portrait"/>
          <w:cols w:equalWidth="0" w:num="1">
            <w:col w:w="11240"/>
          </w:cols>
          <w:pgMar w:left="320" w:top="265" w:right="339" w:bottom="1440" w:gutter="0" w:footer="0" w:header="0"/>
        </w:sectPr>
      </w:pPr>
    </w:p>
    <w:bookmarkStart w:id="76" w:name="page77"/>
    <w:bookmarkEnd w:id="76"/>
    <w:p>
      <w:pPr>
        <w:jc w:val="right"/>
        <w:ind w:right="20"/>
        <w:spacing w:after="0"/>
        <w:rPr>
          <w:sz w:val="20"/>
          <w:szCs w:val="20"/>
          <w:color w:val="auto"/>
        </w:rPr>
      </w:pPr>
      <w:r>
        <w:rPr>
          <w:rFonts w:ascii="Arial" w:cs="Arial" w:eastAsia="Arial" w:hAnsi="Arial"/>
          <w:sz w:val="14"/>
          <w:szCs w:val="14"/>
          <w:color w:val="auto"/>
        </w:rPr>
        <w:t>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Income Statement -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20"/>
                <w:szCs w:val="20"/>
                <w:color w:val="auto"/>
              </w:rPr>
            </w:pPr>
            <w:r>
              <w:rPr>
                <w:rFonts w:ascii="Arial" w:cs="Arial" w:eastAsia="Arial" w:hAnsi="Arial"/>
                <w:sz w:val="14"/>
                <w:szCs w:val="14"/>
                <w:color w:val="auto"/>
              </w:rPr>
              <w:t>(unaudited and in thousands, except per share amounts)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30-Sep-23</w:t>
            </w:r>
          </w:p>
        </w:tc>
        <w:tc>
          <w:tcPr>
            <w:tcW w:w="340" w:type="dxa"/>
            <w:vAlign w:val="bottom"/>
          </w:tcPr>
          <w:p>
            <w:pPr>
              <w:spacing w:after="0"/>
              <w:rPr>
                <w:sz w:val="16"/>
                <w:szCs w:val="16"/>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30-Jun-23</w:t>
            </w:r>
          </w:p>
        </w:tc>
        <w:tc>
          <w:tcPr>
            <w:tcW w:w="0" w:type="dxa"/>
            <w:vAlign w:val="bottom"/>
          </w:tcPr>
          <w:p>
            <w:pPr>
              <w:spacing w:after="0"/>
              <w:rPr>
                <w:sz w:val="1"/>
                <w:szCs w:val="1"/>
                <w:color w:val="auto"/>
              </w:rPr>
            </w:pPr>
          </w:p>
        </w:tc>
      </w:tr>
      <w:tr>
        <w:trPr>
          <w:trHeight w:val="177"/>
        </w:trPr>
        <w:tc>
          <w:tcPr>
            <w:tcW w:w="7400" w:type="dxa"/>
            <w:vAlign w:val="bottom"/>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Lease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767,181</w:t>
            </w:r>
          </w:p>
        </w:tc>
        <w:tc>
          <w:tcPr>
            <w:tcW w:w="2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761,733</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Parking and other</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29,649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26,054</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Insurance proceeds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Hotel revenue</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13,484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13,969</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Development and management services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9,284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204"/>
        </w:trPr>
        <w:tc>
          <w:tcPr>
            <w:tcW w:w="7400" w:type="dxa"/>
            <w:vAlign w:val="bottom"/>
          </w:tcPr>
          <w:p>
            <w:pPr>
              <w:ind w:left="26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3,906</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196"/>
        </w:trPr>
        <w:tc>
          <w:tcPr>
            <w:tcW w:w="7400" w:type="dxa"/>
            <w:vAlign w:val="bottom"/>
          </w:tcPr>
          <w:p>
            <w:pPr>
              <w:ind w:left="1080"/>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824,283</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817,153</w:t>
            </w:r>
          </w:p>
        </w:tc>
        <w:tc>
          <w:tcPr>
            <w:tcW w:w="0" w:type="dxa"/>
            <w:vAlign w:val="bottom"/>
          </w:tcPr>
          <w:p>
            <w:pPr>
              <w:spacing w:after="0"/>
              <w:rPr>
                <w:sz w:val="1"/>
                <w:szCs w:val="1"/>
                <w:color w:val="auto"/>
              </w:rPr>
            </w:pPr>
          </w:p>
        </w:tc>
      </w:tr>
      <w:tr>
        <w:trPr>
          <w:trHeight w:val="181"/>
        </w:trPr>
        <w:tc>
          <w:tcPr>
            <w:tcW w:w="7400" w:type="dxa"/>
            <w:vAlign w:val="bottom"/>
          </w:tcPr>
          <w:p>
            <w:pPr>
              <w:ind w:left="20"/>
              <w:spacing w:after="0"/>
              <w:rPr>
                <w:sz w:val="20"/>
                <w:szCs w:val="20"/>
                <w:color w:val="auto"/>
              </w:rPr>
            </w:pPr>
            <w:r>
              <w:rPr>
                <w:rFonts w:ascii="Arial" w:cs="Arial" w:eastAsia="Arial" w:hAnsi="Arial"/>
                <w:sz w:val="14"/>
                <w:szCs w:val="14"/>
                <w:color w:val="auto"/>
              </w:rPr>
              <w:t>Expenses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Operating</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159,923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150,735</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Real estate taxes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140,368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137,566</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Demolition costs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Restoration expenses related to insurance claim</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Hotel operating</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8,161</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31,410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44,175</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Payroll and related costs from management services contracts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3,906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4,609</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Transaction costs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4"/>
        </w:trPr>
        <w:tc>
          <w:tcPr>
            <w:tcW w:w="74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207,435</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202,577</w:t>
            </w:r>
          </w:p>
        </w:tc>
        <w:tc>
          <w:tcPr>
            <w:tcW w:w="0" w:type="dxa"/>
            <w:vAlign w:val="bottom"/>
          </w:tcPr>
          <w:p>
            <w:pPr>
              <w:spacing w:after="0"/>
              <w:rPr>
                <w:sz w:val="1"/>
                <w:szCs w:val="1"/>
                <w:color w:val="auto"/>
              </w:rPr>
            </w:pPr>
          </w:p>
        </w:tc>
      </w:tr>
      <w:tr>
        <w:trPr>
          <w:trHeight w:val="196"/>
        </w:trPr>
        <w:tc>
          <w:tcPr>
            <w:tcW w:w="7400" w:type="dxa"/>
            <w:vAlign w:val="bottom"/>
          </w:tcPr>
          <w:p>
            <w:pPr>
              <w:ind w:left="108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552,714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550,866</w:t>
            </w:r>
          </w:p>
        </w:tc>
        <w:tc>
          <w:tcPr>
            <w:tcW w:w="0" w:type="dxa"/>
            <w:vAlign w:val="bottom"/>
          </w:tcPr>
          <w:p>
            <w:pPr>
              <w:spacing w:after="0"/>
              <w:rPr>
                <w:sz w:val="1"/>
                <w:szCs w:val="1"/>
                <w:color w:val="auto"/>
              </w:rPr>
            </w:pPr>
          </w:p>
        </w:tc>
      </w:tr>
      <w:tr>
        <w:trPr>
          <w:trHeight w:val="181"/>
        </w:trPr>
        <w:tc>
          <w:tcPr>
            <w:tcW w:w="74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Loss from unconsolidated joint ventures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(247,556)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Gains on sales of real estate</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Gains (losses) from investments in securities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(925)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2"/>
        </w:trPr>
        <w:tc>
          <w:tcPr>
            <w:tcW w:w="7400" w:type="dxa"/>
            <w:vAlign w:val="bottom"/>
          </w:tcPr>
          <w:p>
            <w:pPr>
              <w:ind w:left="260"/>
              <w:spacing w:after="0"/>
              <w:rPr>
                <w:sz w:val="20"/>
                <w:szCs w:val="20"/>
                <w:color w:val="auto"/>
              </w:rPr>
            </w:pPr>
            <w:r>
              <w:rPr>
                <w:rFonts w:ascii="Arial" w:cs="Arial" w:eastAsia="Arial" w:hAnsi="Arial"/>
                <w:sz w:val="14"/>
                <w:szCs w:val="14"/>
                <w:color w:val="auto"/>
              </w:rPr>
              <w:t>Interest and other income (loss)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20,715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17,343</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Unrealized gain (loss) on non-real estate investment</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4"/>
        </w:trPr>
        <w:tc>
          <w:tcPr>
            <w:tcW w:w="740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(147,812)</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(142,473)</w:t>
            </w:r>
          </w:p>
        </w:tc>
        <w:tc>
          <w:tcPr>
            <w:tcW w:w="0" w:type="dxa"/>
            <w:vAlign w:val="bottom"/>
          </w:tcPr>
          <w:p>
            <w:pPr>
              <w:spacing w:after="0"/>
              <w:rPr>
                <w:sz w:val="1"/>
                <w:szCs w:val="1"/>
                <w:color w:val="auto"/>
              </w:rPr>
            </w:pPr>
          </w:p>
        </w:tc>
      </w:tr>
      <w:tr>
        <w:trPr>
          <w:trHeight w:val="194"/>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(103,543)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136,184</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(20,909)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(19,768)</w:t>
            </w:r>
          </w:p>
        </w:tc>
        <w:tc>
          <w:tcPr>
            <w:tcW w:w="0" w:type="dxa"/>
            <w:vAlign w:val="bottom"/>
          </w:tcPr>
          <w:p>
            <w:pPr>
              <w:spacing w:after="0"/>
              <w:rPr>
                <w:sz w:val="1"/>
                <w:szCs w:val="1"/>
                <w:color w:val="auto"/>
              </w:rPr>
            </w:pPr>
          </w:p>
        </w:tc>
      </w:tr>
      <w:tr>
        <w:trPr>
          <w:trHeight w:val="207"/>
        </w:trPr>
        <w:tc>
          <w:tcPr>
            <w:tcW w:w="740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(12,117)</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(111,826)</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104,299</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PER SHARE OF COMMON STOCK (EPS)</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74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basic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diluted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26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59765" cy="428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6D6D6D"/>
        </w:rPr>
        <w:t>BXP ANNOUNCES THIRD QUARTER 2024 RESULTS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6D6D6D"/>
        </w:rPr>
        <w:t>Executed More Than 1.1 Million Square Feet of Leases in Q3</w:t>
      </w:r>
    </w:p>
    <w:p>
      <w:pPr>
        <w:spacing w:after="0" w:line="225"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b w:val="1"/>
          <w:bCs w:val="1"/>
          <w:color w:val="6D6D6D"/>
        </w:rPr>
        <w:t xml:space="preserve">BOSTON, MA, October 29, 2024 - </w:t>
      </w:r>
      <w:r>
        <w:rPr>
          <w:rFonts w:ascii="Arial" w:cs="Arial" w:eastAsia="Arial" w:hAnsi="Arial"/>
          <w:sz w:val="22"/>
          <w:szCs w:val="22"/>
          <w:b w:val="1"/>
          <w:bCs w:val="1"/>
          <w:u w:val="single" w:color="auto"/>
          <w:color w:val="6D6D6D"/>
        </w:rPr>
        <w:t>BXP, Inc.</w:t>
      </w:r>
      <w:r>
        <w:rPr>
          <w:rFonts w:ascii="Arial" w:cs="Arial" w:eastAsia="Arial" w:hAnsi="Arial"/>
          <w:sz w:val="22"/>
          <w:szCs w:val="22"/>
          <w:b w:val="1"/>
          <w:bCs w:val="1"/>
          <w:color w:val="6D6D6D"/>
        </w:rPr>
        <w:t xml:space="preserve"> (NYSE: BXP)</w:t>
      </w:r>
      <w:r>
        <w:rPr>
          <w:rFonts w:ascii="Arial" w:cs="Arial" w:eastAsia="Arial" w:hAnsi="Arial"/>
          <w:sz w:val="22"/>
          <w:szCs w:val="22"/>
          <w:color w:val="6D6D6D"/>
        </w:rPr>
        <w:t>, the largest publicly traded developer, owner, and</w:t>
      </w:r>
      <w:r>
        <w:rPr>
          <w:rFonts w:ascii="Arial" w:cs="Arial" w:eastAsia="Arial" w:hAnsi="Arial"/>
          <w:sz w:val="22"/>
          <w:szCs w:val="22"/>
          <w:b w:val="1"/>
          <w:bCs w:val="1"/>
          <w:color w:val="6D6D6D"/>
        </w:rPr>
        <w:t xml:space="preserve"> </w:t>
      </w:r>
      <w:r>
        <w:rPr>
          <w:rFonts w:ascii="Arial" w:cs="Arial" w:eastAsia="Arial" w:hAnsi="Arial"/>
          <w:sz w:val="22"/>
          <w:szCs w:val="22"/>
          <w:color w:val="6D6D6D"/>
        </w:rPr>
        <w:t>manager of premier workplaces in the United States, reported results today for the third quarter ended September 30, 2024.</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Financial Highlights</w:t>
      </w:r>
    </w:p>
    <w:p>
      <w:pPr>
        <w:spacing w:after="0" w:line="168" w:lineRule="exact"/>
        <w:rPr>
          <w:sz w:val="20"/>
          <w:szCs w:val="20"/>
          <w:color w:val="auto"/>
        </w:rPr>
      </w:pPr>
    </w:p>
    <w:p>
      <w:pPr>
        <w:ind w:left="340" w:right="60" w:hanging="332"/>
        <w:spacing w:after="0" w:line="259" w:lineRule="auto"/>
        <w:tabs>
          <w:tab w:leader="none" w:pos="335" w:val="left"/>
        </w:tabs>
        <w:numPr>
          <w:ilvl w:val="0"/>
          <w:numId w:val="127"/>
        </w:numPr>
        <w:rPr>
          <w:rFonts w:ascii="Arial" w:cs="Arial" w:eastAsia="Arial" w:hAnsi="Arial"/>
          <w:sz w:val="22"/>
          <w:szCs w:val="22"/>
          <w:b w:val="1"/>
          <w:bCs w:val="1"/>
          <w:color w:val="6D6D6D"/>
        </w:rPr>
      </w:pPr>
      <w:r>
        <w:rPr>
          <w:rFonts w:ascii="Arial" w:cs="Arial" w:eastAsia="Arial" w:hAnsi="Arial"/>
          <w:sz w:val="22"/>
          <w:szCs w:val="22"/>
          <w:color w:val="6D6D6D"/>
        </w:rPr>
        <w:t>Revenue increased 4.2% to $859.2 million for the quarter ended September 30, 2024, compared to $824.3 million for the quarter ended September 30, 2023.</w:t>
      </w:r>
    </w:p>
    <w:p>
      <w:pPr>
        <w:spacing w:after="0" w:line="115" w:lineRule="exact"/>
        <w:rPr>
          <w:rFonts w:ascii="Arial" w:cs="Arial" w:eastAsia="Arial" w:hAnsi="Arial"/>
          <w:sz w:val="22"/>
          <w:szCs w:val="22"/>
          <w:b w:val="1"/>
          <w:bCs w:val="1"/>
          <w:color w:val="6D6D6D"/>
        </w:rPr>
      </w:pPr>
    </w:p>
    <w:p>
      <w:pPr>
        <w:ind w:left="340" w:right="60" w:hanging="332"/>
        <w:spacing w:after="0" w:line="245" w:lineRule="auto"/>
        <w:tabs>
          <w:tab w:leader="none" w:pos="335" w:val="left"/>
        </w:tabs>
        <w:numPr>
          <w:ilvl w:val="0"/>
          <w:numId w:val="127"/>
        </w:numPr>
        <w:rPr>
          <w:rFonts w:ascii="Arial" w:cs="Arial" w:eastAsia="Arial" w:hAnsi="Arial"/>
          <w:sz w:val="22"/>
          <w:szCs w:val="22"/>
          <w:b w:val="1"/>
          <w:bCs w:val="1"/>
          <w:color w:val="6D6D6D"/>
        </w:rPr>
      </w:pPr>
      <w:r>
        <w:rPr>
          <w:rFonts w:ascii="Arial" w:cs="Arial" w:eastAsia="Arial" w:hAnsi="Arial"/>
          <w:sz w:val="22"/>
          <w:szCs w:val="22"/>
          <w:color w:val="6D6D6D"/>
        </w:rPr>
        <w:t>Net income (loss) attributable to BXP, Inc. of $83.6 million, or $0.53 per diluted share (EPS), for the quarter ended September 30, 2024, compared to $(111.8) million, or $(0.71) per diluted share, for the quarter ended September 30, 2023.</w:t>
      </w:r>
    </w:p>
    <w:p>
      <w:pPr>
        <w:spacing w:after="0" w:line="129" w:lineRule="exact"/>
        <w:rPr>
          <w:rFonts w:ascii="Arial" w:cs="Arial" w:eastAsia="Arial" w:hAnsi="Arial"/>
          <w:sz w:val="22"/>
          <w:szCs w:val="22"/>
          <w:b w:val="1"/>
          <w:bCs w:val="1"/>
          <w:color w:val="6D6D6D"/>
        </w:rPr>
      </w:pPr>
    </w:p>
    <w:p>
      <w:pPr>
        <w:ind w:left="980" w:right="20" w:hanging="324"/>
        <w:spacing w:after="0" w:line="262" w:lineRule="auto"/>
        <w:tabs>
          <w:tab w:leader="none" w:pos="976" w:val="left"/>
        </w:tabs>
        <w:numPr>
          <w:ilvl w:val="1"/>
          <w:numId w:val="127"/>
        </w:numPr>
        <w:rPr>
          <w:rFonts w:ascii="Arial" w:cs="Arial" w:eastAsia="Arial" w:hAnsi="Arial"/>
          <w:sz w:val="21"/>
          <w:szCs w:val="21"/>
          <w:color w:val="6D6D6D"/>
        </w:rPr>
      </w:pPr>
      <w:r>
        <w:rPr>
          <w:rFonts w:ascii="Arial" w:cs="Arial" w:eastAsia="Arial" w:hAnsi="Arial"/>
          <w:sz w:val="21"/>
          <w:szCs w:val="21"/>
          <w:color w:val="6D6D6D"/>
        </w:rPr>
        <w:t>EPS for the third quarter was less than the mid-point of BXP’s guidance, updated on August 15, 2024, by $0.01 per diluted share primarily due to $0.02 per share of greater than projected depreciation and amortization expense, partially offset by lower than projected general and administrative (“G&amp;A”) expenses.</w:t>
      </w:r>
    </w:p>
    <w:p>
      <w:pPr>
        <w:spacing w:after="0" w:line="113" w:lineRule="exact"/>
        <w:rPr>
          <w:rFonts w:ascii="Arial" w:cs="Arial" w:eastAsia="Arial" w:hAnsi="Arial"/>
          <w:sz w:val="21"/>
          <w:szCs w:val="21"/>
          <w:color w:val="6D6D6D"/>
        </w:rPr>
      </w:pPr>
    </w:p>
    <w:p>
      <w:pPr>
        <w:jc w:val="both"/>
        <w:ind w:left="340" w:right="180" w:hanging="332"/>
        <w:spacing w:after="0" w:line="283" w:lineRule="auto"/>
        <w:tabs>
          <w:tab w:leader="none" w:pos="335" w:val="left"/>
        </w:tabs>
        <w:numPr>
          <w:ilvl w:val="0"/>
          <w:numId w:val="127"/>
        </w:numPr>
        <w:rPr>
          <w:rFonts w:ascii="Arial" w:cs="Arial" w:eastAsia="Arial" w:hAnsi="Arial"/>
          <w:sz w:val="21"/>
          <w:szCs w:val="21"/>
          <w:color w:val="6D6D6D"/>
        </w:rPr>
      </w:pPr>
      <w:r>
        <w:rPr>
          <w:rFonts w:ascii="Arial" w:cs="Arial" w:eastAsia="Arial" w:hAnsi="Arial"/>
          <w:sz w:val="21"/>
          <w:szCs w:val="21"/>
          <w:color w:val="6D6D6D"/>
        </w:rPr>
        <w:t>Funds from Operations (FFO) of $286.9 million, or $1.81 per diluted share, for the quarter ended September 30, 2024, compared to FFO of $292.8 million, or $1.86 per diluted share, for the quarter ended September 30, 2023.</w:t>
      </w:r>
    </w:p>
    <w:p>
      <w:pPr>
        <w:spacing w:after="0" w:line="92" w:lineRule="exact"/>
        <w:rPr>
          <w:rFonts w:ascii="Arial" w:cs="Arial" w:eastAsia="Arial" w:hAnsi="Arial"/>
          <w:sz w:val="21"/>
          <w:szCs w:val="21"/>
          <w:color w:val="6D6D6D"/>
        </w:rPr>
      </w:pPr>
    </w:p>
    <w:p>
      <w:pPr>
        <w:ind w:left="980" w:right="340" w:hanging="324"/>
        <w:spacing w:after="0" w:line="259" w:lineRule="auto"/>
        <w:tabs>
          <w:tab w:leader="none" w:pos="976" w:val="left"/>
        </w:tabs>
        <w:numPr>
          <w:ilvl w:val="1"/>
          <w:numId w:val="127"/>
        </w:numPr>
        <w:rPr>
          <w:rFonts w:ascii="Arial" w:cs="Arial" w:eastAsia="Arial" w:hAnsi="Arial"/>
          <w:sz w:val="22"/>
          <w:szCs w:val="22"/>
          <w:color w:val="6D6D6D"/>
        </w:rPr>
      </w:pPr>
      <w:r>
        <w:rPr>
          <w:rFonts w:ascii="Arial" w:cs="Arial" w:eastAsia="Arial" w:hAnsi="Arial"/>
          <w:sz w:val="22"/>
          <w:szCs w:val="22"/>
          <w:color w:val="6D6D6D"/>
        </w:rPr>
        <w:t>FFO per diluted share for the third quarter was greater than the mid-point of BXP’s updated guidance by $0.01 per diluted share primarily due to lower than projected G&amp;A expenses.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Guidance</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6D6D6D"/>
        </w:rPr>
        <w:t>BXP provided guidance for full year 2024 EPS of $2.05 - $2.07 and FFO of $7.09 - $7.11 per diluted share. The midpoint of the guidance for full year 2024 EPS represents a decrease of approximately $0.03 per share compared to the midpoint of BXP’s updated guidance and is primarily due to greater projected depreciation and amortization expense. The midpoint of the guidance range for full year 2024 FFO per diluted share is inline with BXP’s updated prior guidance.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6D6D6D"/>
        </w:rPr>
        <w:t>See “EPS and FFO per Share Guidance” below.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Leasing &amp; Occupancy</w:t>
      </w:r>
    </w:p>
    <w:p>
      <w:pPr>
        <w:spacing w:after="0" w:line="100" w:lineRule="exact"/>
        <w:rPr>
          <w:sz w:val="20"/>
          <w:szCs w:val="20"/>
          <w:color w:val="auto"/>
        </w:rPr>
      </w:pPr>
    </w:p>
    <w:p>
      <w:pPr>
        <w:ind w:left="340" w:right="140" w:hanging="332"/>
        <w:spacing w:after="0" w:line="239" w:lineRule="auto"/>
        <w:tabs>
          <w:tab w:leader="none" w:pos="335" w:val="left"/>
        </w:tabs>
        <w:numPr>
          <w:ilvl w:val="0"/>
          <w:numId w:val="128"/>
        </w:numPr>
        <w:rPr>
          <w:rFonts w:ascii="Arial" w:cs="Arial" w:eastAsia="Arial" w:hAnsi="Arial"/>
          <w:sz w:val="22"/>
          <w:szCs w:val="22"/>
          <w:color w:val="6D6D6D"/>
        </w:rPr>
      </w:pPr>
      <w:r>
        <w:rPr>
          <w:rFonts w:ascii="Arial" w:cs="Arial" w:eastAsia="Arial" w:hAnsi="Arial"/>
          <w:sz w:val="22"/>
          <w:szCs w:val="22"/>
          <w:color w:val="6D6D6D"/>
        </w:rPr>
        <w:t>Executed 74 leases totaling more than 1.1 million square feet with a weighted-average lease term of 7.2 years. A total of 3.3 million square feet of leasing was executed in the first three quarters of 2024, representing a 25% increase compared to the same period in 2023.</w:t>
      </w:r>
    </w:p>
    <w:p>
      <w:pPr>
        <w:spacing w:after="0" w:line="202" w:lineRule="exact"/>
        <w:rPr>
          <w:rFonts w:ascii="Arial" w:cs="Arial" w:eastAsia="Arial" w:hAnsi="Arial"/>
          <w:sz w:val="22"/>
          <w:szCs w:val="22"/>
          <w:color w:val="6D6D6D"/>
        </w:rPr>
      </w:pPr>
    </w:p>
    <w:p>
      <w:pPr>
        <w:ind w:left="340" w:right="240" w:hanging="332"/>
        <w:spacing w:after="0" w:line="245" w:lineRule="auto"/>
        <w:tabs>
          <w:tab w:leader="none" w:pos="335" w:val="left"/>
        </w:tabs>
        <w:numPr>
          <w:ilvl w:val="0"/>
          <w:numId w:val="128"/>
        </w:numPr>
        <w:rPr>
          <w:rFonts w:ascii="Arial" w:cs="Arial" w:eastAsia="Arial" w:hAnsi="Arial"/>
          <w:sz w:val="22"/>
          <w:szCs w:val="22"/>
          <w:color w:val="6D6D6D"/>
        </w:rPr>
      </w:pPr>
      <w:r>
        <w:rPr>
          <w:rFonts w:ascii="Arial" w:cs="Arial" w:eastAsia="Arial" w:hAnsi="Arial"/>
          <w:sz w:val="22"/>
          <w:szCs w:val="22"/>
          <w:color w:val="6D6D6D"/>
        </w:rPr>
        <w:t>BXP’s CBD portfolio of premier workplaces was 90.1% occupied and 92.1% leased (including vacant space for which we have signed leases that have not yet commenced in accordance with GAAP). Approximately 88.0% of BXP’s Share of annualized rental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40"/>
          </w:cols>
          <w:pgMar w:left="320" w:top="1052" w:right="339" w:bottom="1440" w:gutter="0" w:footer="0" w:header="0"/>
        </w:sectPr>
      </w:pPr>
    </w:p>
    <w:bookmarkStart w:id="78" w:name="page79"/>
    <w:bookmarkEnd w:id="78"/>
    <w:p>
      <w:pPr>
        <w:ind w:left="340" w:right="460"/>
        <w:spacing w:after="0" w:line="259" w:lineRule="auto"/>
        <w:rPr>
          <w:sz w:val="20"/>
          <w:szCs w:val="20"/>
          <w:color w:val="auto"/>
        </w:rPr>
      </w:pPr>
      <w:r>
        <w:rPr>
          <w:rFonts w:ascii="Arial" w:cs="Arial" w:eastAsia="Arial" w:hAnsi="Arial"/>
          <w:sz w:val="22"/>
          <w:szCs w:val="22"/>
          <w:color w:val="6D6D6D"/>
        </w:rPr>
        <w:t>obligations is derived from clients located in our CBD portfolio, underscoring the strength of BXP’s strategy to invest in the highest quality buildings in dynamic urban gateway markets.</w:t>
      </w:r>
    </w:p>
    <w:p>
      <w:pPr>
        <w:spacing w:after="0" w:line="183" w:lineRule="exact"/>
        <w:rPr>
          <w:sz w:val="20"/>
          <w:szCs w:val="20"/>
          <w:color w:val="auto"/>
        </w:rPr>
      </w:pPr>
    </w:p>
    <w:p>
      <w:pPr>
        <w:ind w:left="340" w:right="460" w:hanging="332"/>
        <w:spacing w:after="0"/>
        <w:tabs>
          <w:tab w:leader="none" w:pos="335" w:val="left"/>
        </w:tabs>
        <w:numPr>
          <w:ilvl w:val="0"/>
          <w:numId w:val="129"/>
        </w:numPr>
        <w:rPr>
          <w:rFonts w:ascii="Arial" w:cs="Arial" w:eastAsia="Arial" w:hAnsi="Arial"/>
          <w:sz w:val="22"/>
          <w:szCs w:val="22"/>
          <w:color w:val="6D6D6D"/>
        </w:rPr>
      </w:pPr>
      <w:r>
        <w:rPr>
          <w:rFonts w:ascii="Arial" w:cs="Arial" w:eastAsia="Arial" w:hAnsi="Arial"/>
          <w:sz w:val="22"/>
          <w:szCs w:val="22"/>
          <w:color w:val="6D6D6D"/>
        </w:rPr>
        <w:t>BXP’s total portfolio occupancy for the third quarter was 87.0% and 89.1% leased (including vacant space for which we have signed leases that have not yet commenced in accordance with GAAP). Our total portfolio occupancy represents a decrease of 10 basis points over the prior quarter, consistent with BXP’s previously communicated expectations, and was primarily due to expected lease expirations.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Development</w:t>
      </w:r>
    </w:p>
    <w:p>
      <w:pPr>
        <w:spacing w:after="0" w:line="168" w:lineRule="exact"/>
        <w:rPr>
          <w:sz w:val="20"/>
          <w:szCs w:val="20"/>
          <w:color w:val="auto"/>
        </w:rPr>
      </w:pPr>
    </w:p>
    <w:p>
      <w:pPr>
        <w:ind w:left="340" w:right="260" w:hanging="332"/>
        <w:spacing w:after="0" w:line="259" w:lineRule="auto"/>
        <w:tabs>
          <w:tab w:leader="none" w:pos="335" w:val="left"/>
        </w:tabs>
        <w:numPr>
          <w:ilvl w:val="0"/>
          <w:numId w:val="130"/>
        </w:numPr>
        <w:rPr>
          <w:rFonts w:ascii="Arial" w:cs="Arial" w:eastAsia="Arial" w:hAnsi="Arial"/>
          <w:sz w:val="22"/>
          <w:szCs w:val="22"/>
          <w:color w:val="6D6D6D"/>
        </w:rPr>
      </w:pPr>
      <w:r>
        <w:rPr>
          <w:rFonts w:ascii="Arial" w:cs="Arial" w:eastAsia="Arial" w:hAnsi="Arial"/>
          <w:sz w:val="22"/>
          <w:szCs w:val="22"/>
          <w:color w:val="6D6D6D"/>
        </w:rPr>
        <w:t>BXP fully placed in-service 180 CityPoint, an approximately 329,000 square foot laboratory/life sciences project located in Waltham, Massachusetts.</w:t>
      </w:r>
    </w:p>
    <w:p>
      <w:pPr>
        <w:spacing w:after="0" w:line="115" w:lineRule="exact"/>
        <w:rPr>
          <w:rFonts w:ascii="Arial" w:cs="Arial" w:eastAsia="Arial" w:hAnsi="Arial"/>
          <w:sz w:val="22"/>
          <w:szCs w:val="22"/>
          <w:color w:val="6D6D6D"/>
        </w:rPr>
      </w:pPr>
    </w:p>
    <w:p>
      <w:pPr>
        <w:ind w:left="340" w:right="40" w:hanging="332"/>
        <w:spacing w:after="0" w:line="245" w:lineRule="auto"/>
        <w:tabs>
          <w:tab w:leader="none" w:pos="335" w:val="left"/>
        </w:tabs>
        <w:numPr>
          <w:ilvl w:val="0"/>
          <w:numId w:val="130"/>
        </w:numPr>
        <w:rPr>
          <w:rFonts w:ascii="Arial" w:cs="Arial" w:eastAsia="Arial" w:hAnsi="Arial"/>
          <w:sz w:val="22"/>
          <w:szCs w:val="22"/>
          <w:color w:val="6D6D6D"/>
        </w:rPr>
      </w:pPr>
      <w:r>
        <w:rPr>
          <w:rFonts w:ascii="Arial" w:cs="Arial" w:eastAsia="Arial" w:hAnsi="Arial"/>
          <w:sz w:val="22"/>
          <w:szCs w:val="22"/>
          <w:color w:val="6D6D6D"/>
        </w:rPr>
        <w:t>BXP partially placed in-service Skymark, a luxury residential property in Reston, Virginia that consists of 508 units across a five-story low-rise building and an iconic 39-story tower, which is one of the tallest buildings in Northern Virginia. The residential property is owned by a joint venture in which BXP has a 20% interest.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Balance Sheet &amp; Liquidity</w:t>
      </w:r>
    </w:p>
    <w:p>
      <w:pPr>
        <w:spacing w:after="0" w:line="235" w:lineRule="exact"/>
        <w:rPr>
          <w:sz w:val="20"/>
          <w:szCs w:val="20"/>
          <w:color w:val="auto"/>
        </w:rPr>
      </w:pPr>
    </w:p>
    <w:p>
      <w:pPr>
        <w:ind w:left="340" w:hanging="332"/>
        <w:spacing w:after="0" w:line="251" w:lineRule="auto"/>
        <w:tabs>
          <w:tab w:leader="none" w:pos="395" w:val="left"/>
        </w:tabs>
        <w:numPr>
          <w:ilvl w:val="0"/>
          <w:numId w:val="131"/>
        </w:numPr>
        <w:rPr>
          <w:rFonts w:ascii="Arial" w:cs="Arial" w:eastAsia="Arial" w:hAnsi="Arial"/>
          <w:sz w:val="21"/>
          <w:szCs w:val="21"/>
          <w:b w:val="1"/>
          <w:bCs w:val="1"/>
          <w:color w:val="6D6D6D"/>
        </w:rPr>
      </w:pPr>
      <w:r>
        <w:rPr>
          <w:rFonts w:ascii="Arial" w:cs="Arial" w:eastAsia="Arial" w:hAnsi="Arial"/>
          <w:sz w:val="21"/>
          <w:szCs w:val="21"/>
          <w:color w:val="6D6D6D"/>
        </w:rPr>
        <w:t>A joint venture in which BXP has a 50% interest exercised an option to extend by one year the maturity date of its loan collateralized by 100 Causeway in Boston, Massachusetts. The 634,000 square foot premier workplace is</w:t>
      </w:r>
    </w:p>
    <w:p>
      <w:pPr>
        <w:ind w:left="340" w:right="20"/>
        <w:spacing w:after="0" w:line="233" w:lineRule="auto"/>
        <w:rPr>
          <w:rFonts w:ascii="Arial" w:cs="Arial" w:eastAsia="Arial" w:hAnsi="Arial"/>
          <w:sz w:val="21"/>
          <w:szCs w:val="21"/>
          <w:b w:val="1"/>
          <w:bCs w:val="1"/>
          <w:color w:val="6D6D6D"/>
        </w:rPr>
      </w:pPr>
      <w:r>
        <w:rPr>
          <w:rFonts w:ascii="Arial" w:cs="Arial" w:eastAsia="Arial" w:hAnsi="Arial"/>
          <w:sz w:val="22"/>
          <w:szCs w:val="22"/>
          <w:color w:val="6D6D6D"/>
        </w:rPr>
        <w:t>96.4% leased. The extended loan has an outstanding balance of $333.6 million and an interest rate equal to Term SOFR plus 1.48% per annum. The loan now matures on September 5, 2025.</w:t>
      </w:r>
    </w:p>
    <w:p>
      <w:pPr>
        <w:spacing w:after="0" w:line="204" w:lineRule="exact"/>
        <w:rPr>
          <w:rFonts w:ascii="Arial" w:cs="Arial" w:eastAsia="Arial" w:hAnsi="Arial"/>
          <w:sz w:val="21"/>
          <w:szCs w:val="21"/>
          <w:b w:val="1"/>
          <w:bCs w:val="1"/>
          <w:color w:val="6D6D6D"/>
        </w:rPr>
      </w:pPr>
    </w:p>
    <w:p>
      <w:pPr>
        <w:ind w:left="340" w:right="160" w:hanging="332"/>
        <w:spacing w:after="0" w:line="251" w:lineRule="auto"/>
        <w:tabs>
          <w:tab w:leader="none" w:pos="335" w:val="left"/>
        </w:tabs>
        <w:numPr>
          <w:ilvl w:val="0"/>
          <w:numId w:val="131"/>
        </w:numPr>
        <w:rPr>
          <w:rFonts w:ascii="Arial" w:cs="Arial" w:eastAsia="Arial" w:hAnsi="Arial"/>
          <w:sz w:val="21"/>
          <w:szCs w:val="21"/>
          <w:color w:val="6D6D6D"/>
        </w:rPr>
      </w:pPr>
      <w:r>
        <w:rPr>
          <w:rFonts w:ascii="Arial" w:cs="Arial" w:eastAsia="Arial" w:hAnsi="Arial"/>
          <w:sz w:val="21"/>
          <w:szCs w:val="21"/>
          <w:color w:val="6D6D6D"/>
        </w:rPr>
        <w:t>Boston Properties Limited Partnership (“BPLP”) completed a public offering of $850.0 million in aggregate principal amount of its 5.750% unsecured senior notes due 2035. The notes were priced at 99.961% of the principal amount to yield an effective rate (including financing fees) of approximately 5.842% per annum to maturity. The notes will mature on January 15, 2035, unless earlier redeemed. The aggregate net proceeds from the offering were approximately $841.9 million after deducting underwriting discounts and transaction expenses.</w:t>
      </w:r>
    </w:p>
    <w:p>
      <w:pPr>
        <w:spacing w:after="0" w:line="195" w:lineRule="exact"/>
        <w:rPr>
          <w:rFonts w:ascii="Arial" w:cs="Arial" w:eastAsia="Arial" w:hAnsi="Arial"/>
          <w:sz w:val="21"/>
          <w:szCs w:val="21"/>
          <w:color w:val="6D6D6D"/>
        </w:rPr>
      </w:pPr>
    </w:p>
    <w:p>
      <w:pPr>
        <w:ind w:left="340" w:right="40" w:hanging="332"/>
        <w:spacing w:after="0" w:line="232" w:lineRule="auto"/>
        <w:tabs>
          <w:tab w:leader="none" w:pos="335" w:val="left"/>
        </w:tabs>
        <w:numPr>
          <w:ilvl w:val="0"/>
          <w:numId w:val="131"/>
        </w:numPr>
        <w:rPr>
          <w:rFonts w:ascii="Arial" w:cs="Arial" w:eastAsia="Arial" w:hAnsi="Arial"/>
          <w:sz w:val="22"/>
          <w:szCs w:val="22"/>
          <w:color w:val="6D6D6D"/>
        </w:rPr>
      </w:pPr>
      <w:r>
        <w:rPr>
          <w:rFonts w:ascii="Arial" w:cs="Arial" w:eastAsia="Arial" w:hAnsi="Arial"/>
          <w:sz w:val="22"/>
          <w:szCs w:val="22"/>
          <w:color w:val="6D6D6D"/>
        </w:rPr>
        <w:t>BXP modified the mortgage loan collateralized by its Santa Monica Business Park properties located in Santa Monica, California. The mortgage loan had an outstanding principal balance of $300.0 million, bore interest at a variable rate equal to SOFR plus 1.38% per annum and was scheduled to mature on July 19, 2025. The modified loan reduced the outstanding principal amount to $200.0 million and extended the maturity date to October 8, 2028. The modified loan bears interest at a variable rate of SOFR plus 1.38% per annum until July 19, 2025, after which the loan will bear interest at a variable rate of SOFR plus 1.60% annum. In addition, as part of the refinancing, BPLP entered into a new $100.0 million unsecured term loan that bears interest at a variable rate of SOFR plus 1.05% and matures on September 26, 2025 with three one-year extension options (subject to customary conditions). The mortgage and unsecured term loans are subject to existing interest rate swaps fixing SOFR at a weighted-average fixed rate of approximately 2.679% per annum for a period that ends on April 1, 2025. Santa Monica Business Park is an office park consisting of 21 buildings totaling approximately 1.2 million net rentable square feet.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00"/>
          </w:cols>
          <w:pgMar w:left="320" w:top="883" w:right="37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6D6D6D"/>
        </w:rPr>
        <w:t>Sustainability &amp; Impact</w:t>
      </w:r>
    </w:p>
    <w:p>
      <w:pPr>
        <w:spacing w:after="0" w:line="235" w:lineRule="exact"/>
        <w:rPr>
          <w:sz w:val="20"/>
          <w:szCs w:val="20"/>
          <w:color w:val="auto"/>
        </w:rPr>
      </w:pPr>
    </w:p>
    <w:p>
      <w:pPr>
        <w:ind w:left="340" w:right="40" w:hanging="332"/>
        <w:spacing w:after="0" w:line="259" w:lineRule="auto"/>
        <w:tabs>
          <w:tab w:leader="none" w:pos="335" w:val="left"/>
        </w:tabs>
        <w:numPr>
          <w:ilvl w:val="0"/>
          <w:numId w:val="132"/>
        </w:numPr>
        <w:rPr>
          <w:rFonts w:ascii="Arial" w:cs="Arial" w:eastAsia="Arial" w:hAnsi="Arial"/>
          <w:sz w:val="22"/>
          <w:szCs w:val="22"/>
          <w:color w:val="6D6D6D"/>
        </w:rPr>
      </w:pPr>
      <w:r>
        <w:rPr>
          <w:rFonts w:ascii="Arial" w:cs="Arial" w:eastAsia="Arial" w:hAnsi="Arial"/>
          <w:sz w:val="22"/>
          <w:szCs w:val="22"/>
          <w:color w:val="6D6D6D"/>
        </w:rPr>
        <w:t>BXP was named by TIME Magazine and Statista to the inaugural list of the World’s Most Sustainable Companies. BXP ranked #79 overall and was the highest-rated United States property owner.</w:t>
      </w:r>
    </w:p>
    <w:p>
      <w:pPr>
        <w:spacing w:after="0" w:line="183" w:lineRule="exact"/>
        <w:rPr>
          <w:rFonts w:ascii="Arial" w:cs="Arial" w:eastAsia="Arial" w:hAnsi="Arial"/>
          <w:sz w:val="22"/>
          <w:szCs w:val="22"/>
          <w:color w:val="6D6D6D"/>
        </w:rPr>
      </w:pPr>
    </w:p>
    <w:p>
      <w:pPr>
        <w:ind w:left="340" w:right="320" w:hanging="332"/>
        <w:spacing w:after="0" w:line="235" w:lineRule="auto"/>
        <w:tabs>
          <w:tab w:leader="none" w:pos="335" w:val="left"/>
        </w:tabs>
        <w:numPr>
          <w:ilvl w:val="0"/>
          <w:numId w:val="132"/>
        </w:numPr>
        <w:rPr>
          <w:rFonts w:ascii="Arial" w:cs="Arial" w:eastAsia="Arial" w:hAnsi="Arial"/>
          <w:sz w:val="22"/>
          <w:szCs w:val="22"/>
          <w:color w:val="6D6D6D"/>
        </w:rPr>
      </w:pPr>
      <w:r>
        <w:rPr>
          <w:rFonts w:ascii="Arial" w:cs="Arial" w:eastAsia="Arial" w:hAnsi="Arial"/>
          <w:sz w:val="22"/>
          <w:szCs w:val="22"/>
          <w:color w:val="6D6D6D"/>
        </w:rPr>
        <w:t>BXP was selected to receive a Sustainable Design Impact Award for 140 Kendrick Building A in Needham, Massachusetts—the first net-zero, carbon-neutral office repositioning of its scale in the Commonwealth of Massachusetts. The Sustainable Design Award is part of Nareit’s Sustainability Impact Awards and recognizes architecture and engineering strategies that reduce environmental impact through smart design, new development, or retrofitting.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616161"/>
        </w:rPr>
        <w:t>EPS and FFO per Share Guidance:</w:t>
      </w:r>
    </w:p>
    <w:p>
      <w:pPr>
        <w:spacing w:after="0" w:line="87" w:lineRule="exact"/>
        <w:rPr>
          <w:sz w:val="20"/>
          <w:szCs w:val="20"/>
          <w:color w:val="auto"/>
        </w:rPr>
      </w:pPr>
    </w:p>
    <w:p>
      <w:pPr>
        <w:spacing w:after="0" w:line="232" w:lineRule="auto"/>
        <w:rPr>
          <w:sz w:val="20"/>
          <w:szCs w:val="20"/>
          <w:color w:val="auto"/>
        </w:rPr>
      </w:pPr>
      <w:r>
        <w:rPr>
          <w:rFonts w:ascii="Arial" w:cs="Arial" w:eastAsia="Arial" w:hAnsi="Arial"/>
          <w:sz w:val="22"/>
          <w:szCs w:val="22"/>
          <w:color w:val="616161"/>
        </w:rPr>
        <w:t xml:space="preserve">BXP’s guidance for the full year 2024 for EPS (diluted) and FFO per share (diluted) is set forth and reconciled below. Except as described below, the estimates reflect management’s view of current and future market conditions, including assumptions with respect to rental rates, occupancy levels, interest rates, the timing of the lease-up of available space, the timing of development cost outlays and development deliveries, and the earnings impact of the events referenced in this release and those referenced during the related conference call. The estimates do not include (1) possible future gains or losses or the impact on operating results from other possible future property acquisitions or dispositions, (2) the impacts of any other capital markets activity, (3) future write-offs or reinstatements of accounts receivable and accrued rent balances, or (4) future impairment charges. EPS estimates </w:t>
      </w:r>
      <w:r>
        <w:rPr>
          <w:rFonts w:ascii="Arial" w:cs="Arial" w:eastAsia="Arial" w:hAnsi="Arial"/>
          <w:sz w:val="22"/>
          <w:szCs w:val="22"/>
          <w:color w:val="6D6D6D"/>
        </w:rPr>
        <w:t>may fluctuate as</w:t>
      </w:r>
      <w:r>
        <w:rPr>
          <w:rFonts w:ascii="Arial" w:cs="Arial" w:eastAsia="Arial" w:hAnsi="Arial"/>
          <w:sz w:val="22"/>
          <w:szCs w:val="22"/>
          <w:color w:val="616161"/>
        </w:rPr>
        <w:t xml:space="preserve"> </w:t>
      </w:r>
      <w:r>
        <w:rPr>
          <w:rFonts w:ascii="Arial" w:cs="Arial" w:eastAsia="Arial" w:hAnsi="Arial"/>
          <w:sz w:val="22"/>
          <w:szCs w:val="22"/>
          <w:color w:val="6D6D6D"/>
        </w:rPr>
        <w:t>a result of several factors, including changes in the recognition of depreciation and amortization expense, impairment losses on depreciable real estate, and any gains or losses associated with disposition activity. BXP is not able t</w:t>
      </w:r>
      <w:r>
        <w:rPr>
          <w:rFonts w:ascii="Arial" w:cs="Arial" w:eastAsia="Arial" w:hAnsi="Arial"/>
          <w:sz w:val="22"/>
          <w:szCs w:val="22"/>
          <w:color w:val="616161"/>
        </w:rPr>
        <w:t>o</w:t>
      </w:r>
      <w:r>
        <w:rPr>
          <w:rFonts w:ascii="Arial" w:cs="Arial" w:eastAsia="Arial" w:hAnsi="Arial"/>
          <w:sz w:val="22"/>
          <w:szCs w:val="22"/>
          <w:color w:val="6D6D6D"/>
        </w:rPr>
        <w:t xml:space="preserve"> </w:t>
      </w:r>
      <w:r>
        <w:rPr>
          <w:rFonts w:ascii="Arial" w:cs="Arial" w:eastAsia="Arial" w:hAnsi="Arial"/>
          <w:sz w:val="22"/>
          <w:szCs w:val="22"/>
          <w:color w:val="616161"/>
        </w:rPr>
        <w:t>assess at this time the potential impact of these factors on projected EPS. By definition, FFO does not include real estate-related depreciation and amortization, impairment losses on depreciable real estate, or gains or losses associated with disposition activities. There can be no assurance that BXP’s actual results will not differ materially from the estimates set forth below.</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80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494949"/>
              </w:rPr>
              <w:t>Full Year 2024</w:t>
            </w:r>
          </w:p>
        </w:tc>
        <w:tc>
          <w:tcPr>
            <w:tcW w:w="1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1"/>
                <w:szCs w:val="21"/>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494949"/>
              </w:rPr>
              <w:t>Low</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494949"/>
              </w:rPr>
              <w:t>High</w:t>
            </w:r>
          </w:p>
        </w:tc>
        <w:tc>
          <w:tcPr>
            <w:tcW w:w="0" w:type="dxa"/>
            <w:vAlign w:val="bottom"/>
          </w:tcPr>
          <w:p>
            <w:pPr>
              <w:spacing w:after="0"/>
              <w:rPr>
                <w:sz w:val="1"/>
                <w:szCs w:val="1"/>
                <w:color w:val="auto"/>
              </w:rPr>
            </w:pPr>
          </w:p>
        </w:tc>
      </w:tr>
      <w:tr>
        <w:trPr>
          <w:trHeight w:val="242"/>
        </w:trPr>
        <w:tc>
          <w:tcPr>
            <w:tcW w:w="5800" w:type="dxa"/>
            <w:vAlign w:val="bottom"/>
          </w:tcPr>
          <w:p>
            <w:pPr>
              <w:spacing w:after="0"/>
              <w:rPr>
                <w:sz w:val="20"/>
                <w:szCs w:val="20"/>
                <w:color w:val="auto"/>
              </w:rPr>
            </w:pPr>
            <w:r>
              <w:rPr>
                <w:rFonts w:ascii="Arial" w:cs="Arial" w:eastAsia="Arial" w:hAnsi="Arial"/>
                <w:sz w:val="20"/>
                <w:szCs w:val="20"/>
                <w:color w:val="494949"/>
              </w:rPr>
              <w:t>Projected EPS (diluted)</w:t>
            </w:r>
          </w:p>
        </w:tc>
        <w:tc>
          <w:tcPr>
            <w:tcW w:w="1380" w:type="dxa"/>
            <w:vAlign w:val="bottom"/>
          </w:tcPr>
          <w:p>
            <w:pPr>
              <w:jc w:val="right"/>
              <w:ind w:right="1141"/>
              <w:spacing w:after="0"/>
              <w:rPr>
                <w:sz w:val="20"/>
                <w:szCs w:val="20"/>
                <w:color w:val="auto"/>
              </w:rPr>
            </w:pPr>
            <w:r>
              <w:rPr>
                <w:rFonts w:ascii="Arial" w:cs="Arial" w:eastAsia="Arial" w:hAnsi="Arial"/>
                <w:sz w:val="20"/>
                <w:szCs w:val="20"/>
                <w:color w:val="494949"/>
              </w:rPr>
              <w:t>$</w:t>
            </w:r>
          </w:p>
        </w:tc>
        <w:tc>
          <w:tcPr>
            <w:tcW w:w="700" w:type="dxa"/>
            <w:vAlign w:val="bottom"/>
          </w:tcPr>
          <w:p>
            <w:pPr>
              <w:jc w:val="center"/>
              <w:ind w:left="41"/>
              <w:spacing w:after="0"/>
              <w:rPr>
                <w:sz w:val="20"/>
                <w:szCs w:val="20"/>
                <w:color w:val="auto"/>
              </w:rPr>
            </w:pPr>
            <w:r>
              <w:rPr>
                <w:rFonts w:ascii="Arial" w:cs="Arial" w:eastAsia="Arial" w:hAnsi="Arial"/>
                <w:sz w:val="20"/>
                <w:szCs w:val="20"/>
                <w:color w:val="494949"/>
              </w:rPr>
              <w:t>2.05</w:t>
            </w:r>
          </w:p>
        </w:tc>
        <w:tc>
          <w:tcPr>
            <w:tcW w:w="240" w:type="dxa"/>
            <w:vAlign w:val="bottom"/>
          </w:tcPr>
          <w:p>
            <w:pPr>
              <w:spacing w:after="0"/>
              <w:rPr>
                <w:sz w:val="21"/>
                <w:szCs w:val="21"/>
                <w:color w:val="auto"/>
              </w:rPr>
            </w:pPr>
          </w:p>
        </w:tc>
        <w:tc>
          <w:tcPr>
            <w:tcW w:w="780" w:type="dxa"/>
            <w:vAlign w:val="bottom"/>
          </w:tcPr>
          <w:p>
            <w:pPr>
              <w:jc w:val="right"/>
              <w:ind w:right="561"/>
              <w:spacing w:after="0"/>
              <w:rPr>
                <w:sz w:val="20"/>
                <w:szCs w:val="20"/>
                <w:color w:val="auto"/>
              </w:rPr>
            </w:pPr>
            <w:r>
              <w:rPr>
                <w:rFonts w:ascii="Arial" w:cs="Arial" w:eastAsia="Arial" w:hAnsi="Arial"/>
                <w:sz w:val="20"/>
                <w:szCs w:val="20"/>
                <w:color w:val="494949"/>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494949"/>
              </w:rPr>
              <w:t>2.07</w:t>
            </w:r>
          </w:p>
        </w:tc>
        <w:tc>
          <w:tcPr>
            <w:tcW w:w="0" w:type="dxa"/>
            <w:vAlign w:val="bottom"/>
          </w:tcPr>
          <w:p>
            <w:pPr>
              <w:spacing w:after="0"/>
              <w:rPr>
                <w:sz w:val="1"/>
                <w:szCs w:val="1"/>
                <w:color w:val="auto"/>
              </w:rPr>
            </w:pPr>
          </w:p>
        </w:tc>
      </w:tr>
      <w:tr>
        <w:trPr>
          <w:trHeight w:val="256"/>
        </w:trPr>
        <w:tc>
          <w:tcPr>
            <w:tcW w:w="5800" w:type="dxa"/>
            <w:vAlign w:val="bottom"/>
          </w:tcPr>
          <w:p>
            <w:pPr>
              <w:ind w:left="340"/>
              <w:spacing w:after="0"/>
              <w:rPr>
                <w:sz w:val="20"/>
                <w:szCs w:val="20"/>
                <w:color w:val="auto"/>
              </w:rPr>
            </w:pPr>
            <w:r>
              <w:rPr>
                <w:rFonts w:ascii="Arial" w:cs="Arial" w:eastAsia="Arial" w:hAnsi="Arial"/>
                <w:sz w:val="20"/>
                <w:szCs w:val="20"/>
                <w:color w:val="494949"/>
              </w:rPr>
              <w:t>Add:</w:t>
            </w:r>
          </w:p>
        </w:tc>
        <w:tc>
          <w:tcPr>
            <w:tcW w:w="1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900"/>
              <w:spacing w:after="0" w:line="203" w:lineRule="exact"/>
              <w:rPr>
                <w:sz w:val="20"/>
                <w:szCs w:val="20"/>
                <w:color w:val="auto"/>
              </w:rPr>
            </w:pPr>
            <w:r>
              <w:rPr>
                <w:rFonts w:ascii="Arial" w:cs="Arial" w:eastAsia="Arial" w:hAnsi="Arial"/>
                <w:sz w:val="20"/>
                <w:szCs w:val="20"/>
                <w:color w:val="494949"/>
              </w:rPr>
              <w:t>Projected Company share of real estate depreciation</w:t>
            </w:r>
          </w:p>
        </w:tc>
        <w:tc>
          <w:tcPr>
            <w:tcW w:w="1380" w:type="dxa"/>
            <w:vAlign w:val="bottom"/>
          </w:tcPr>
          <w:p>
            <w:pPr>
              <w:spacing w:after="0"/>
              <w:rPr>
                <w:sz w:val="17"/>
                <w:szCs w:val="17"/>
                <w:color w:val="auto"/>
              </w:rPr>
            </w:pPr>
          </w:p>
        </w:tc>
        <w:tc>
          <w:tcPr>
            <w:tcW w:w="700" w:type="dxa"/>
            <w:vAlign w:val="bottom"/>
            <w:vMerge w:val="restart"/>
          </w:tcPr>
          <w:p>
            <w:pPr>
              <w:jc w:val="center"/>
              <w:ind w:left="41"/>
              <w:spacing w:after="0"/>
              <w:rPr>
                <w:sz w:val="20"/>
                <w:szCs w:val="20"/>
                <w:color w:val="auto"/>
              </w:rPr>
            </w:pPr>
            <w:r>
              <w:rPr>
                <w:rFonts w:ascii="Arial" w:cs="Arial" w:eastAsia="Arial" w:hAnsi="Arial"/>
                <w:sz w:val="20"/>
                <w:szCs w:val="20"/>
                <w:color w:val="494949"/>
              </w:rPr>
              <w:t>5.09</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Arial" w:cs="Arial" w:eastAsia="Arial" w:hAnsi="Arial"/>
                <w:sz w:val="20"/>
                <w:szCs w:val="20"/>
                <w:color w:val="494949"/>
              </w:rPr>
              <w:t>5.09</w:t>
            </w:r>
          </w:p>
        </w:tc>
        <w:tc>
          <w:tcPr>
            <w:tcW w:w="0" w:type="dxa"/>
            <w:vAlign w:val="bottom"/>
          </w:tcPr>
          <w:p>
            <w:pPr>
              <w:spacing w:after="0"/>
              <w:rPr>
                <w:sz w:val="1"/>
                <w:szCs w:val="1"/>
                <w:color w:val="auto"/>
              </w:rPr>
            </w:pPr>
          </w:p>
        </w:tc>
      </w:tr>
      <w:tr>
        <w:trPr>
          <w:trHeight w:val="243"/>
        </w:trPr>
        <w:tc>
          <w:tcPr>
            <w:tcW w:w="5800" w:type="dxa"/>
            <w:vAlign w:val="bottom"/>
          </w:tcPr>
          <w:p>
            <w:pPr>
              <w:ind w:left="1140"/>
              <w:spacing w:after="0"/>
              <w:rPr>
                <w:sz w:val="20"/>
                <w:szCs w:val="20"/>
                <w:color w:val="auto"/>
              </w:rPr>
            </w:pPr>
            <w:r>
              <w:rPr>
                <w:rFonts w:ascii="Arial" w:cs="Arial" w:eastAsia="Arial" w:hAnsi="Arial"/>
                <w:sz w:val="20"/>
                <w:szCs w:val="20"/>
                <w:color w:val="494949"/>
              </w:rPr>
              <w:t>and amortization</w:t>
            </w:r>
          </w:p>
        </w:tc>
        <w:tc>
          <w:tcPr>
            <w:tcW w:w="13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900"/>
              <w:spacing w:after="0" w:line="203" w:lineRule="exact"/>
              <w:rPr>
                <w:sz w:val="20"/>
                <w:szCs w:val="20"/>
                <w:color w:val="auto"/>
              </w:rPr>
            </w:pPr>
            <w:r>
              <w:rPr>
                <w:rFonts w:ascii="Arial" w:cs="Arial" w:eastAsia="Arial" w:hAnsi="Arial"/>
                <w:sz w:val="20"/>
                <w:szCs w:val="20"/>
                <w:color w:val="494949"/>
              </w:rPr>
              <w:t>Projected Company share of (gains)/losses on sales</w:t>
            </w: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0" w:type="dxa"/>
            <w:vAlign w:val="bottom"/>
          </w:tcPr>
          <w:p>
            <w:pPr>
              <w:ind w:left="1140"/>
              <w:spacing w:after="0" w:line="197" w:lineRule="exact"/>
              <w:rPr>
                <w:sz w:val="20"/>
                <w:szCs w:val="20"/>
                <w:color w:val="auto"/>
              </w:rPr>
            </w:pPr>
            <w:r>
              <w:rPr>
                <w:rFonts w:ascii="Arial" w:cs="Arial" w:eastAsia="Arial" w:hAnsi="Arial"/>
                <w:sz w:val="20"/>
                <w:szCs w:val="20"/>
                <w:color w:val="494949"/>
              </w:rPr>
              <w:t>of real estate, gain on investment from</w:t>
            </w:r>
          </w:p>
        </w:tc>
        <w:tc>
          <w:tcPr>
            <w:tcW w:w="1380" w:type="dxa"/>
            <w:vAlign w:val="bottom"/>
          </w:tcPr>
          <w:p>
            <w:pPr>
              <w:spacing w:after="0"/>
              <w:rPr>
                <w:sz w:val="17"/>
                <w:szCs w:val="17"/>
                <w:color w:val="auto"/>
              </w:rPr>
            </w:pPr>
          </w:p>
        </w:tc>
        <w:tc>
          <w:tcPr>
            <w:tcW w:w="700" w:type="dxa"/>
            <w:vAlign w:val="bottom"/>
            <w:vMerge w:val="restart"/>
          </w:tcPr>
          <w:p>
            <w:pPr>
              <w:jc w:val="center"/>
              <w:ind w:left="1"/>
              <w:spacing w:after="0"/>
              <w:rPr>
                <w:sz w:val="20"/>
                <w:szCs w:val="20"/>
                <w:color w:val="auto"/>
              </w:rPr>
            </w:pPr>
            <w:r>
              <w:rPr>
                <w:rFonts w:ascii="Arial" w:cs="Arial" w:eastAsia="Arial" w:hAnsi="Arial"/>
                <w:sz w:val="20"/>
                <w:szCs w:val="20"/>
                <w:color w:val="494949"/>
                <w:w w:val="99"/>
              </w:rPr>
              <w:t>(0.05)</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Arial" w:cs="Arial" w:eastAsia="Arial" w:hAnsi="Arial"/>
                <w:sz w:val="20"/>
                <w:szCs w:val="20"/>
                <w:color w:val="494949"/>
              </w:rPr>
              <w:t>(0.05)</w:t>
            </w:r>
          </w:p>
        </w:tc>
        <w:tc>
          <w:tcPr>
            <w:tcW w:w="0" w:type="dxa"/>
            <w:vAlign w:val="bottom"/>
          </w:tcPr>
          <w:p>
            <w:pPr>
              <w:spacing w:after="0"/>
              <w:rPr>
                <w:sz w:val="1"/>
                <w:szCs w:val="1"/>
                <w:color w:val="auto"/>
              </w:rPr>
            </w:pPr>
          </w:p>
        </w:tc>
      </w:tr>
      <w:tr>
        <w:trPr>
          <w:trHeight w:val="256"/>
        </w:trPr>
        <w:tc>
          <w:tcPr>
            <w:tcW w:w="5800" w:type="dxa"/>
            <w:vAlign w:val="bottom"/>
          </w:tcPr>
          <w:p>
            <w:pPr>
              <w:ind w:left="1140"/>
              <w:spacing w:after="0"/>
              <w:rPr>
                <w:sz w:val="20"/>
                <w:szCs w:val="20"/>
                <w:color w:val="auto"/>
              </w:rPr>
            </w:pPr>
            <w:r>
              <w:rPr>
                <w:rFonts w:ascii="Arial" w:cs="Arial" w:eastAsia="Arial" w:hAnsi="Arial"/>
                <w:sz w:val="20"/>
                <w:szCs w:val="20"/>
                <w:color w:val="494949"/>
              </w:rPr>
              <w:t>unconsolidated joint venture and impairments</w:t>
            </w:r>
          </w:p>
        </w:tc>
        <w:tc>
          <w:tcPr>
            <w:tcW w:w="1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20"/>
                <w:szCs w:val="20"/>
                <w:color w:val="494949"/>
              </w:rPr>
              <w:t>Projected FFO per share (diluted)</w:t>
            </w:r>
          </w:p>
        </w:tc>
        <w:tc>
          <w:tcPr>
            <w:tcW w:w="1380" w:type="dxa"/>
            <w:vAlign w:val="bottom"/>
            <w:tcBorders>
              <w:bottom w:val="single" w:sz="8" w:color="auto"/>
            </w:tcBorders>
          </w:tcPr>
          <w:p>
            <w:pPr>
              <w:jc w:val="right"/>
              <w:ind w:right="1141"/>
              <w:spacing w:after="0"/>
              <w:rPr>
                <w:sz w:val="20"/>
                <w:szCs w:val="20"/>
                <w:color w:val="auto"/>
              </w:rPr>
            </w:pPr>
            <w:r>
              <w:rPr>
                <w:rFonts w:ascii="Arial" w:cs="Arial" w:eastAsia="Arial" w:hAnsi="Arial"/>
                <w:sz w:val="20"/>
                <w:szCs w:val="20"/>
                <w:color w:val="494949"/>
              </w:rPr>
              <w:t>$</w:t>
            </w:r>
          </w:p>
        </w:tc>
        <w:tc>
          <w:tcPr>
            <w:tcW w:w="700" w:type="dxa"/>
            <w:vAlign w:val="bottom"/>
            <w:tcBorders>
              <w:bottom w:val="single" w:sz="8" w:color="auto"/>
            </w:tcBorders>
          </w:tcPr>
          <w:p>
            <w:pPr>
              <w:jc w:val="center"/>
              <w:ind w:left="41"/>
              <w:spacing w:after="0"/>
              <w:rPr>
                <w:sz w:val="20"/>
                <w:szCs w:val="20"/>
                <w:color w:val="auto"/>
              </w:rPr>
            </w:pPr>
            <w:r>
              <w:rPr>
                <w:rFonts w:ascii="Arial" w:cs="Arial" w:eastAsia="Arial" w:hAnsi="Arial"/>
                <w:sz w:val="20"/>
                <w:szCs w:val="20"/>
                <w:color w:val="494949"/>
              </w:rPr>
              <w:t>7.09</w:t>
            </w:r>
          </w:p>
        </w:tc>
        <w:tc>
          <w:tcPr>
            <w:tcW w:w="240" w:type="dxa"/>
            <w:vAlign w:val="bottom"/>
          </w:tcPr>
          <w:p>
            <w:pPr>
              <w:spacing w:after="0"/>
              <w:rPr>
                <w:sz w:val="21"/>
                <w:szCs w:val="21"/>
                <w:color w:val="auto"/>
              </w:rPr>
            </w:pPr>
          </w:p>
        </w:tc>
        <w:tc>
          <w:tcPr>
            <w:tcW w:w="7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494949"/>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94949"/>
              </w:rPr>
              <w:t>7.11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240"/>
        <w:spacing w:after="0" w:line="245" w:lineRule="auto"/>
        <w:rPr>
          <w:sz w:val="20"/>
          <w:szCs w:val="20"/>
          <w:color w:val="auto"/>
        </w:rPr>
      </w:pPr>
      <w:r>
        <w:rPr>
          <w:rFonts w:ascii="Arial" w:cs="Arial" w:eastAsia="Arial" w:hAnsi="Arial"/>
          <w:sz w:val="22"/>
          <w:szCs w:val="22"/>
          <w:color w:val="6D6D6D"/>
        </w:rPr>
        <w:t>The reported results are unaudited and there can be no assurance that these reported results will not vary from the final information for the quarter ende</w:t>
      </w:r>
      <w:r>
        <w:rPr>
          <w:rFonts w:ascii="Arial" w:cs="Arial" w:eastAsia="Arial" w:hAnsi="Arial"/>
          <w:sz w:val="22"/>
          <w:szCs w:val="22"/>
          <w:color w:val="616161"/>
        </w:rPr>
        <w:t>d</w:t>
      </w:r>
      <w:r>
        <w:rPr>
          <w:rFonts w:ascii="Arial" w:cs="Arial" w:eastAsia="Arial" w:hAnsi="Arial"/>
          <w:sz w:val="22"/>
          <w:szCs w:val="22"/>
          <w:color w:val="6D6D6D"/>
        </w:rPr>
        <w:t xml:space="preserve"> September 30, 2024</w:t>
      </w:r>
      <w:r>
        <w:rPr>
          <w:rFonts w:ascii="Arial" w:cs="Arial" w:eastAsia="Arial" w:hAnsi="Arial"/>
          <w:sz w:val="22"/>
          <w:szCs w:val="22"/>
          <w:color w:val="616161"/>
        </w:rPr>
        <w:t>. In the opinion of management, BXP has made all</w:t>
      </w:r>
      <w:r>
        <w:rPr>
          <w:rFonts w:ascii="Arial" w:cs="Arial" w:eastAsia="Arial" w:hAnsi="Arial"/>
          <w:sz w:val="22"/>
          <w:szCs w:val="22"/>
          <w:color w:val="6D6D6D"/>
        </w:rPr>
        <w:t xml:space="preserve"> </w:t>
      </w:r>
      <w:r>
        <w:rPr>
          <w:rFonts w:ascii="Arial" w:cs="Arial" w:eastAsia="Arial" w:hAnsi="Arial"/>
          <w:sz w:val="22"/>
          <w:szCs w:val="22"/>
          <w:color w:val="616161"/>
        </w:rPr>
        <w:t>adjustments considered necessary for a fair statement of these reported results.</w:t>
      </w:r>
    </w:p>
    <w:p>
      <w:pPr>
        <w:spacing w:after="0" w:line="197"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616161"/>
        </w:rPr>
        <w:t xml:space="preserve">BXP will host a conference call on Wednesday, October 30, 2024 at 10:00 AM Eastern Time, open to the general public, to discuss the </w:t>
      </w:r>
      <w:r>
        <w:rPr>
          <w:rFonts w:ascii="Arial" w:cs="Arial" w:eastAsia="Arial" w:hAnsi="Arial"/>
          <w:sz w:val="22"/>
          <w:szCs w:val="22"/>
          <w:color w:val="6D6D6D"/>
        </w:rPr>
        <w:t>third</w:t>
      </w:r>
      <w:r>
        <w:rPr>
          <w:rFonts w:ascii="Arial" w:cs="Arial" w:eastAsia="Arial" w:hAnsi="Arial"/>
          <w:sz w:val="22"/>
          <w:szCs w:val="22"/>
          <w:color w:val="616161"/>
        </w:rPr>
        <w:t xml:space="preserve"> quarter 2024 results, provide a business update, and discuss other business matters that may be of interest to investors. </w:t>
      </w:r>
      <w:r>
        <w:rPr>
          <w:rFonts w:ascii="Arial" w:cs="Arial" w:eastAsia="Arial" w:hAnsi="Arial"/>
          <w:sz w:val="22"/>
          <w:szCs w:val="22"/>
          <w:color w:val="6D6D6D"/>
        </w:rPr>
        <w:t>Participants who would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00"/>
          </w:cols>
          <w:pgMar w:left="320" w:top="881" w:right="37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6D6D6D"/>
        </w:rPr>
        <w:t>like to join the call and ask a question may register at</w:t>
      </w:r>
    </w:p>
    <w:p>
      <w:pPr>
        <w:spacing w:after="0"/>
        <w:rPr>
          <w:sz w:val="20"/>
          <w:szCs w:val="20"/>
          <w:color w:val="auto"/>
        </w:rPr>
      </w:pPr>
      <w:r>
        <w:rPr>
          <w:rFonts w:ascii="Arial" w:cs="Arial" w:eastAsia="Arial" w:hAnsi="Arial"/>
          <w:sz w:val="22"/>
          <w:szCs w:val="22"/>
          <w:color w:val="3051F2"/>
        </w:rPr>
        <w:t xml:space="preserve">https://register.vevent.com/register/BI1fc7a411c96548e894372c76c917619c </w:t>
      </w:r>
      <w:r>
        <w:rPr>
          <w:rFonts w:ascii="Arial" w:cs="Arial" w:eastAsia="Arial" w:hAnsi="Arial"/>
          <w:sz w:val="22"/>
          <w:szCs w:val="22"/>
          <w:color w:val="6D6D6D"/>
        </w:rPr>
        <w:t>to receive the dial-in numbers and</w:t>
      </w:r>
    </w:p>
    <w:p>
      <w:pPr>
        <w:spacing w:after="0"/>
        <w:rPr>
          <w:sz w:val="20"/>
          <w:szCs w:val="20"/>
          <w:color w:val="auto"/>
        </w:rPr>
      </w:pPr>
      <w:r>
        <w:rPr>
          <w:rFonts w:ascii="Arial" w:cs="Arial" w:eastAsia="Arial" w:hAnsi="Arial"/>
          <w:sz w:val="21"/>
          <w:szCs w:val="21"/>
          <w:color w:val="6D6D6D"/>
        </w:rPr>
        <w:t>unique PIN to access the call. There will also be a live audio, listen-only webcast of the call, which may be accessed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6D6D6D"/>
        </w:rPr>
        <w:t xml:space="preserve">in the Investors section of BXP’s website at </w:t>
      </w:r>
      <w:r>
        <w:rPr>
          <w:rFonts w:ascii="Arial" w:cs="Arial" w:eastAsia="Arial" w:hAnsi="Arial"/>
          <w:sz w:val="21"/>
          <w:szCs w:val="21"/>
          <w:color w:val="3051F2"/>
        </w:rPr>
        <w:t>https://investors.bxp.com/events-webcasts</w:t>
      </w:r>
      <w:r>
        <w:rPr>
          <w:rFonts w:ascii="Arial" w:cs="Arial" w:eastAsia="Arial" w:hAnsi="Arial"/>
          <w:sz w:val="21"/>
          <w:szCs w:val="21"/>
          <w:color w:val="6D6D6D"/>
        </w:rPr>
        <w:t>. Shortly after the call, a replay</w:t>
      </w:r>
    </w:p>
    <w:p>
      <w:pPr>
        <w:spacing w:after="0" w:line="231" w:lineRule="auto"/>
        <w:rPr>
          <w:sz w:val="20"/>
          <w:szCs w:val="20"/>
          <w:color w:val="auto"/>
        </w:rPr>
      </w:pPr>
      <w:r>
        <w:rPr>
          <w:rFonts w:ascii="Arial" w:cs="Arial" w:eastAsia="Arial" w:hAnsi="Arial"/>
          <w:sz w:val="22"/>
          <w:szCs w:val="22"/>
          <w:color w:val="6D6D6D"/>
        </w:rPr>
        <w:t xml:space="preserve">of the call will be available on BXP’s website at </w:t>
      </w:r>
      <w:r>
        <w:rPr>
          <w:rFonts w:ascii="Arial" w:cs="Arial" w:eastAsia="Arial" w:hAnsi="Arial"/>
          <w:sz w:val="22"/>
          <w:szCs w:val="22"/>
          <w:color w:val="3051F2"/>
        </w:rPr>
        <w:t>https://investors.bxp.com/events-webcasts</w:t>
      </w:r>
      <w:r>
        <w:rPr>
          <w:rFonts w:ascii="Arial" w:cs="Arial" w:eastAsia="Arial" w:hAnsi="Arial"/>
          <w:sz w:val="22"/>
          <w:szCs w:val="22"/>
          <w:color w:val="6D6D6D"/>
        </w:rPr>
        <w:t xml:space="preserve"> for up to twelve months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6D6D6D"/>
        </w:rPr>
        <w:t>following the call.</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22"/>
          <w:szCs w:val="22"/>
          <w:color w:val="616161"/>
        </w:rPr>
        <w:t xml:space="preserve">Additionally, a copy of BXP’s </w:t>
      </w:r>
      <w:r>
        <w:rPr>
          <w:rFonts w:ascii="Arial" w:cs="Arial" w:eastAsia="Arial" w:hAnsi="Arial"/>
          <w:sz w:val="22"/>
          <w:szCs w:val="22"/>
          <w:color w:val="6D6D6D"/>
        </w:rPr>
        <w:t>third</w:t>
      </w:r>
      <w:r>
        <w:rPr>
          <w:rFonts w:ascii="Arial" w:cs="Arial" w:eastAsia="Arial" w:hAnsi="Arial"/>
          <w:sz w:val="22"/>
          <w:szCs w:val="22"/>
          <w:color w:val="616161"/>
        </w:rPr>
        <w:t xml:space="preserve"> quarter 2024 “Supplemental Operating and Financial Data” and this press release are available in the Investors section of BXP’s website at </w:t>
      </w:r>
      <w:r>
        <w:rPr>
          <w:rFonts w:ascii="Arial" w:cs="Arial" w:eastAsia="Arial" w:hAnsi="Arial"/>
          <w:sz w:val="22"/>
          <w:szCs w:val="22"/>
          <w:u w:val="single" w:color="auto"/>
          <w:color w:val="0019FF"/>
        </w:rPr>
        <w:t>investors.bxp.com</w:t>
      </w:r>
      <w:r>
        <w:rPr>
          <w:rFonts w:ascii="Arial" w:cs="Arial" w:eastAsia="Arial" w:hAnsi="Arial"/>
          <w:sz w:val="22"/>
          <w:szCs w:val="22"/>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616161"/>
        </w:rPr>
        <w:t>BXP, Inc. (NYSE: BXP) is the largest publicly traded developer, owner, and manager of premier workplaces</w:t>
      </w:r>
    </w:p>
    <w:p>
      <w:pPr>
        <w:spacing w:after="0" w:line="10"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616161"/>
        </w:rPr>
        <w:t xml:space="preserve">in the United States, concentrated in six dynamic gateway markets - Boston, Los Angeles, New York, San Francisco, Seattle, and Washington, DC. BXP has delivered places that power progress for our clients and communities for more than 50 years. BXP is a fully integrated real estate company, organized as a real estate investment trust (REIT). Including properties owned by unconsolidated joint ventures, BXP’s portfolio totals 53.0 million square feet and 184 properties, including 9 properties under construction/redevelopment. For more information about BXP, please visit our </w:t>
      </w:r>
      <w:r>
        <w:rPr>
          <w:rFonts w:ascii="Arial" w:cs="Arial" w:eastAsia="Arial" w:hAnsi="Arial"/>
          <w:sz w:val="22"/>
          <w:szCs w:val="22"/>
          <w:u w:val="single" w:color="auto"/>
          <w:color w:val="616161"/>
        </w:rPr>
        <w:t>website</w:t>
      </w:r>
      <w:r>
        <w:rPr>
          <w:rFonts w:ascii="Arial" w:cs="Arial" w:eastAsia="Arial" w:hAnsi="Arial"/>
          <w:sz w:val="22"/>
          <w:szCs w:val="22"/>
          <w:color w:val="616161"/>
        </w:rPr>
        <w:t xml:space="preserve"> or follow us on </w:t>
      </w:r>
      <w:r>
        <w:rPr>
          <w:rFonts w:ascii="Arial" w:cs="Arial" w:eastAsia="Arial" w:hAnsi="Arial"/>
          <w:sz w:val="22"/>
          <w:szCs w:val="22"/>
          <w:color w:val="000000"/>
        </w:rPr>
        <w:t>LinkedIn</w:t>
      </w:r>
      <w:r>
        <w:rPr>
          <w:rFonts w:ascii="Arial" w:cs="Arial" w:eastAsia="Arial" w:hAnsi="Arial"/>
          <w:sz w:val="22"/>
          <w:szCs w:val="22"/>
          <w:color w:val="616161"/>
        </w:rPr>
        <w:t xml:space="preserve"> or </w:t>
      </w:r>
      <w:r>
        <w:rPr>
          <w:rFonts w:ascii="Arial" w:cs="Arial" w:eastAsia="Arial" w:hAnsi="Arial"/>
          <w:sz w:val="22"/>
          <w:szCs w:val="22"/>
          <w:color w:val="000000"/>
        </w:rPr>
        <w:t>Instagram</w:t>
      </w:r>
      <w:r>
        <w:rPr>
          <w:rFonts w:ascii="Arial" w:cs="Arial" w:eastAsia="Arial" w:hAnsi="Arial"/>
          <w:sz w:val="22"/>
          <w:szCs w:val="22"/>
          <w:color w:val="616161"/>
        </w:rPr>
        <w:t>.</w:t>
      </w: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616161"/>
        </w:rPr>
        <w:t>This press release includes references to “BXP’s Share of annualized rental obligations.” We define rental obligations as the contractual base rents (but excluding percentage rent) and budgeted reimbursements from clients under existing leases. These amounts exclude rent abatements. Further, "annualized rental obligations" is defined as monthly rental obligations, as of the last day of the reporting period, multiplied by twelve (12). "BXP's Share" is based on annualized rental obligations for our consolidated portfolio, plus our share of annualized rental obligations from the unconsolidated joint ventures properties (calculated based on our ownership percentage), minus our partners' share of annualized rental obligations from our consolidated joint venture properties (calculated based on our partners' percentage ownership interests). Our definitions of the foregoing operating metrics may be different than those used by other companies.</w:t>
      </w:r>
    </w:p>
    <w:p>
      <w:pPr>
        <w:spacing w:after="0" w:line="2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616161"/>
        </w:rPr>
        <w:t>This press release contains “forward-looking statements” as defined in the Private Securities Litigation Reform Act of 1995. You can identify these statements by our use of the words “anticipates,” “believes,” “budgeted,” “could,” “estimates,” “expects,” “guidance,” “intends,” “may,” “might,” “plans,” “projects,” “should,” “will,” and similar expressions that do not relate to historical matters. These statements are based on our current plans, expectations, projections and assumptions about future events. You should exercise caution in interpreting and relying on forward-looking statements because they involve known and unknown risks, uncertainties and other factors, which are, in some cases, beyond BXP’s control. If our underlying assumptions prove inaccurate, or known or unknown risks or uncertainties materialize, actual results could differ materially from those expressed or implied by the forward-looking statements. These factors include, without limitation, the risks and uncertainties related to the impact of changes in general economic and capital market conditions, including continued inflation, high interest rates, supply chain disruptions, labor market disruptions, dislocation and volatility in capital markets, potential longer-term changes in consumer and client behavior resulting from the severity and duration of any downturn in the U.S. or global economy, general risks affecting the real estate industry (including, without limitation, the inability to enter into or renew leases on favorable terms, changes in client preferences and space utilization, dependence on clients’ financial condition, and competition from other developers, owners and operators of real estate), the impact of geopolitical conflicts, the immediate and long-term impact of the outbreak of a highly infectious or contagious disease, on our and our clients’ financial condition, results of operations and cash flows (including the impact of actions taken to contain the outbreak or mitigate its impact, the direct and indirect economic effects of the outbreak and containment measures on our clients, and the ability of our clients to successfully operate their businesses), the uncertainties of investing in new markets, the costs and availability of financing, the effectiveness of our interest rate hedging contracts, the ability of our joint venture partners to satisfy their obligations, the effects of local, national and international economic and market conditions, the effects of acquisitions, dispositions and possible impairment charges on our operating results, the impact of newly adopted accounting principles on BXP’s accounting policies and on period-to-period comparisons of financial results, the uncertainties of costs to comply with regulatory changes (including costs to comply with the Securities and Exchange Commission’s and the State of California’s rules to standardize climate-related disclosures) and other risks and uncertainties detailed from time to time in BXP’s filings with the Securities and Exchange Commission. These forward-looking statements speak only as of the date of issuance of this report and are not guarantees of future results, performance, or achievements. BXP</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40"/>
          </w:cols>
          <w:pgMar w:left="320" w:top="883" w:right="339" w:bottom="1440" w:gutter="0" w:footer="0" w:header="0"/>
        </w:sectPr>
      </w:pPr>
    </w:p>
    <w:bookmarkStart w:id="81" w:name="page82"/>
    <w:bookmarkEnd w:id="81"/>
    <w:p>
      <w:pPr>
        <w:spacing w:after="0" w:line="269" w:lineRule="auto"/>
        <w:rPr>
          <w:sz w:val="20"/>
          <w:szCs w:val="20"/>
          <w:color w:val="auto"/>
        </w:rPr>
      </w:pPr>
      <w:r>
        <w:rPr>
          <w:rFonts w:ascii="Arial" w:cs="Arial" w:eastAsia="Arial" w:hAnsi="Arial"/>
          <w:sz w:val="18"/>
          <w:szCs w:val="18"/>
          <w:i w:val="1"/>
          <w:iCs w:val="1"/>
          <w:color w:val="616161"/>
        </w:rPr>
        <w:t>does not undertake a duty to update or revise any forward-looking statement whether as a result of new information, future events or otherwise, except as otherwise required by law.</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22"/>
          <w:szCs w:val="22"/>
          <w:color w:val="6D6D6D"/>
        </w:rPr>
        <w:t>Financial tables follow.</w:t>
      </w:r>
    </w:p>
    <w:p>
      <w:pPr>
        <w:spacing w:after="0" w:line="200" w:lineRule="exact"/>
        <w:rPr>
          <w:sz w:val="20"/>
          <w:szCs w:val="20"/>
          <w:color w:val="auto"/>
        </w:rPr>
      </w:pPr>
    </w:p>
    <w:p>
      <w:pPr>
        <w:spacing w:after="0" w:line="317" w:lineRule="exact"/>
        <w:rPr>
          <w:sz w:val="20"/>
          <w:szCs w:val="20"/>
          <w:color w:val="auto"/>
        </w:rPr>
      </w:pPr>
    </w:p>
    <w:p>
      <w:pPr>
        <w:ind w:left="5260"/>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0520"/>
          </w:cols>
          <w:pgMar w:left="320" w:top="892" w:right="1059" w:bottom="1440" w:gutter="0" w:footer="0" w:header="0"/>
        </w:sectPr>
      </w:pPr>
    </w:p>
    <w:bookmarkStart w:id="82" w:name="page83"/>
    <w:bookmarkEnd w:id="82"/>
    <w:p>
      <w:pPr>
        <w:ind w:left="5220"/>
        <w:spacing w:after="0"/>
        <w:rPr>
          <w:sz w:val="20"/>
          <w:szCs w:val="20"/>
          <w:color w:val="auto"/>
        </w:rPr>
      </w:pPr>
      <w:r>
        <w:rPr>
          <w:rFonts w:ascii="Arial" w:cs="Arial" w:eastAsia="Arial" w:hAnsi="Arial"/>
          <w:sz w:val="18"/>
          <w:szCs w:val="18"/>
          <w:b w:val="1"/>
          <w:bCs w:val="1"/>
          <w:color w:val="6D6D6D"/>
        </w:rPr>
        <w:t>BXP,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6D6D6D"/>
        </w:rPr>
        <w:t>CONSOLIDATED BALANCE SHEETS</w:t>
      </w:r>
    </w:p>
    <w:p>
      <w:pPr>
        <w:jc w:val="center"/>
        <w:spacing w:after="0"/>
        <w:rPr>
          <w:sz w:val="20"/>
          <w:szCs w:val="20"/>
          <w:color w:val="auto"/>
        </w:rPr>
      </w:pPr>
      <w:r>
        <w:rPr>
          <w:rFonts w:ascii="Arial" w:cs="Arial" w:eastAsia="Arial" w:hAnsi="Arial"/>
          <w:sz w:val="18"/>
          <w:szCs w:val="18"/>
          <w:b w:val="1"/>
          <w:bCs w:val="1"/>
          <w:color w:val="6D6D6D"/>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6D6D6D"/>
              </w:rPr>
              <w:t>September 30,</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6D6D6D"/>
              </w:rPr>
              <w:t>December 31,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6D6D6D"/>
              </w:rPr>
              <w:t>2024</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6D6D6D"/>
              </w:rPr>
              <w:t>2023</w:t>
            </w:r>
          </w:p>
        </w:tc>
        <w:tc>
          <w:tcPr>
            <w:tcW w:w="0" w:type="dxa"/>
            <w:vAlign w:val="bottom"/>
          </w:tcPr>
          <w:p>
            <w:pPr>
              <w:spacing w:after="0"/>
              <w:rPr>
                <w:sz w:val="1"/>
                <w:szCs w:val="1"/>
                <w:color w:val="auto"/>
              </w:rPr>
            </w:pPr>
          </w:p>
        </w:tc>
      </w:tr>
      <w:tr>
        <w:trPr>
          <w:trHeight w:val="155"/>
        </w:trPr>
        <w:tc>
          <w:tcPr>
            <w:tcW w:w="8100" w:type="dxa"/>
            <w:vAlign w:val="bottom"/>
          </w:tcPr>
          <w:p>
            <w:pPr>
              <w:spacing w:after="0"/>
              <w:rPr>
                <w:sz w:val="13"/>
                <w:szCs w:val="13"/>
                <w:color w:val="auto"/>
              </w:rPr>
            </w:pPr>
          </w:p>
        </w:tc>
        <w:tc>
          <w:tcPr>
            <w:tcW w:w="3140" w:type="dxa"/>
            <w:vAlign w:val="bottom"/>
            <w:gridSpan w:val="5"/>
          </w:tcPr>
          <w:p>
            <w:pPr>
              <w:jc w:val="right"/>
              <w:spacing w:after="0" w:line="155" w:lineRule="exact"/>
              <w:rPr>
                <w:sz w:val="20"/>
                <w:szCs w:val="20"/>
                <w:color w:val="auto"/>
              </w:rPr>
            </w:pPr>
            <w:r>
              <w:rPr>
                <w:rFonts w:ascii="Arial" w:cs="Arial" w:eastAsia="Arial" w:hAnsi="Arial"/>
                <w:sz w:val="16"/>
                <w:szCs w:val="16"/>
                <w:b w:val="1"/>
                <w:bCs w:val="1"/>
                <w:color w:val="6D6D6D"/>
              </w:rPr>
              <w:t>(in thousands, except for share and par</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6D6D6D"/>
              </w:rPr>
              <w:t>value amounts)</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720"/>
              <w:spacing w:after="0"/>
              <w:rPr>
                <w:sz w:val="20"/>
                <w:szCs w:val="20"/>
                <w:color w:val="auto"/>
              </w:rPr>
            </w:pPr>
            <w:r>
              <w:rPr>
                <w:rFonts w:ascii="Arial" w:cs="Arial" w:eastAsia="Arial" w:hAnsi="Arial"/>
                <w:sz w:val="16"/>
                <w:szCs w:val="16"/>
                <w:b w:val="1"/>
                <w:bCs w:val="1"/>
                <w:color w:val="6D6D6D"/>
              </w:rPr>
              <w:t>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Real estate, at cost</w:t>
            </w:r>
          </w:p>
        </w:tc>
        <w:tc>
          <w:tcPr>
            <w:tcW w:w="14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6D6D6D"/>
              </w:rPr>
              <w:t>26,054,928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Pr>
          <w:p>
            <w:pPr>
              <w:jc w:val="right"/>
              <w:spacing w:after="0"/>
              <w:rPr>
                <w:sz w:val="20"/>
                <w:szCs w:val="20"/>
                <w:color w:val="auto"/>
              </w:rPr>
            </w:pPr>
            <w:r>
              <w:rPr>
                <w:rFonts w:ascii="Arial" w:cs="Arial" w:eastAsia="Arial" w:hAnsi="Arial"/>
                <w:sz w:val="16"/>
                <w:szCs w:val="16"/>
                <w:color w:val="6D6D6D"/>
              </w:rPr>
              <w:t>25,504,868</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Construction in progress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812,122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547,280</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Land held for future development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690,774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697,061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Right of use assets - finance leases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372,896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401,680</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Right of use assets - operating leases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339,804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324,298</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(7,369,545)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(6,881,728)</w:t>
            </w:r>
          </w:p>
        </w:tc>
        <w:tc>
          <w:tcPr>
            <w:tcW w:w="0" w:type="dxa"/>
            <w:vAlign w:val="bottom"/>
          </w:tcPr>
          <w:p>
            <w:pPr>
              <w:spacing w:after="0"/>
              <w:rPr>
                <w:sz w:val="1"/>
                <w:szCs w:val="1"/>
                <w:color w:val="auto"/>
              </w:rPr>
            </w:pPr>
          </w:p>
        </w:tc>
      </w:tr>
      <w:tr>
        <w:trPr>
          <w:trHeight w:val="209"/>
        </w:trPr>
        <w:tc>
          <w:tcPr>
            <w:tcW w:w="8100" w:type="dxa"/>
            <w:vAlign w:val="bottom"/>
          </w:tcPr>
          <w:p>
            <w:pPr>
              <w:ind w:left="680"/>
              <w:spacing w:after="0"/>
              <w:rPr>
                <w:sz w:val="20"/>
                <w:szCs w:val="20"/>
                <w:color w:val="auto"/>
              </w:rPr>
            </w:pPr>
            <w:r>
              <w:rPr>
                <w:rFonts w:ascii="Arial" w:cs="Arial" w:eastAsia="Arial" w:hAnsi="Arial"/>
                <w:sz w:val="16"/>
                <w:szCs w:val="16"/>
                <w:color w:val="6D6D6D"/>
              </w:rPr>
              <w:t>Total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20,900,979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20,593,459</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Cash and cash equivalents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1,420,475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1,531,477</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Cash held in escrows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51,009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81,090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Investments in securities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39,186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36,337</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Tenant and other receivables,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99,706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122,407</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Note receivable,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1,714</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Related party note receivables,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88,788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88,779</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Sales-type lease receivable,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14,429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13,704</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Accrued rental income,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1,438,492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1,355,212</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Deferred charges,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794,571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760,421</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Prepaid expenses and other assets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132,078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64,230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Investments in unconsolidated joint ventures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1,421,886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1,377,319</w:t>
            </w:r>
          </w:p>
        </w:tc>
        <w:tc>
          <w:tcPr>
            <w:tcW w:w="0" w:type="dxa"/>
            <w:vAlign w:val="bottom"/>
          </w:tcPr>
          <w:p>
            <w:pPr>
              <w:spacing w:after="0"/>
              <w:rPr>
                <w:sz w:val="1"/>
                <w:szCs w:val="1"/>
                <w:color w:val="auto"/>
              </w:rPr>
            </w:pPr>
          </w:p>
        </w:tc>
      </w:tr>
      <w:tr>
        <w:trPr>
          <w:trHeight w:val="209"/>
        </w:trPr>
        <w:tc>
          <w:tcPr>
            <w:tcW w:w="8100" w:type="dxa"/>
            <w:vAlign w:val="bottom"/>
          </w:tcPr>
          <w:p>
            <w:pPr>
              <w:ind w:left="680"/>
              <w:spacing w:after="0"/>
              <w:rPr>
                <w:sz w:val="20"/>
                <w:szCs w:val="20"/>
                <w:color w:val="auto"/>
              </w:rPr>
            </w:pPr>
            <w:r>
              <w:rPr>
                <w:rFonts w:ascii="Arial" w:cs="Arial" w:eastAsia="Arial" w:hAnsi="Arial"/>
                <w:sz w:val="16"/>
                <w:szCs w:val="16"/>
                <w:color w:val="6D6D6D"/>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26,405,536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26,026,149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100" w:type="dxa"/>
            <w:vAlign w:val="bottom"/>
            <w:shd w:val="clear" w:color="auto" w:fill="CCEEFF"/>
          </w:tcPr>
          <w:p>
            <w:pPr>
              <w:ind w:left="3060"/>
              <w:spacing w:after="0"/>
              <w:rPr>
                <w:sz w:val="20"/>
                <w:szCs w:val="20"/>
                <w:color w:val="auto"/>
              </w:rPr>
            </w:pPr>
            <w:r>
              <w:rPr>
                <w:rFonts w:ascii="Arial" w:cs="Arial" w:eastAsia="Arial" w:hAnsi="Arial"/>
                <w:sz w:val="16"/>
                <w:szCs w:val="16"/>
                <w:b w:val="1"/>
                <w:bCs w:val="1"/>
                <w:color w:val="6D6D6D"/>
              </w:rPr>
              <w:t>LIABILITIES AND EQUITY</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Mortgage notes payable,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4,275,155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4,166,379</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senior notes,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10,642,033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10,491,617</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line of credit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term loans,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798,058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1,198,301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commercial paper</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Lease liabilities - finance leases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373,260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417,961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Lease liabilities - operating leases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389,444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350,391</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Accounts payable and accrued expenses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444,288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458,329</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Dividends and distributions payable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172,191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171,176</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Accrued interest payable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121,360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133,684</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407,441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445,947</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6D6D6D"/>
              </w:rPr>
              <w:t>Total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18,123,230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17,833,785</w:t>
            </w: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Commitments and contingencies</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Redeemable deferred stock units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10,696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8,383</w:t>
            </w: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Arial" w:cs="Arial" w:eastAsia="Arial" w:hAnsi="Arial"/>
                <w:sz w:val="16"/>
                <w:szCs w:val="16"/>
                <w:color w:val="6D6D6D"/>
              </w:rPr>
              <w:t>Equity:</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Stockholders’ equity attributable to BXP, Inc.:</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Excess stock, $0.01 par value, 150,000,000 shares authorized, none issued or outstanding</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Preferred stock, $0.01 par value, 50,000,000 shares authorized; none issued or outstanding</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162"/>
        </w:trPr>
        <w:tc>
          <w:tcPr>
            <w:tcW w:w="8100" w:type="dxa"/>
            <w:vAlign w:val="bottom"/>
          </w:tcPr>
          <w:p>
            <w:pPr>
              <w:ind w:left="360"/>
              <w:spacing w:after="0" w:line="162" w:lineRule="exact"/>
              <w:rPr>
                <w:sz w:val="20"/>
                <w:szCs w:val="20"/>
                <w:color w:val="auto"/>
              </w:rPr>
            </w:pPr>
            <w:r>
              <w:rPr>
                <w:rFonts w:ascii="Arial" w:cs="Arial" w:eastAsia="Arial" w:hAnsi="Arial"/>
                <w:sz w:val="16"/>
                <w:szCs w:val="16"/>
                <w:color w:val="6D6D6D"/>
              </w:rPr>
              <w:t>Common stock, $0.01 par value, 250,000,000 shares authorized, 158,058,798 and 157,019,766 issued and</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6D6D6D"/>
              </w:rPr>
              <w:t>1,580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6D6D6D"/>
              </w:rPr>
              <w:t>1,569</w:t>
            </w:r>
          </w:p>
        </w:tc>
        <w:tc>
          <w:tcPr>
            <w:tcW w:w="0" w:type="dxa"/>
            <w:vAlign w:val="bottom"/>
          </w:tcPr>
          <w:p>
            <w:pPr>
              <w:spacing w:after="0"/>
              <w:rPr>
                <w:sz w:val="1"/>
                <w:szCs w:val="1"/>
                <w:color w:val="auto"/>
              </w:rPr>
            </w:pPr>
          </w:p>
        </w:tc>
      </w:tr>
      <w:tr>
        <w:trPr>
          <w:trHeight w:val="215"/>
        </w:trPr>
        <w:tc>
          <w:tcPr>
            <w:tcW w:w="8100" w:type="dxa"/>
            <w:vAlign w:val="bottom"/>
          </w:tcPr>
          <w:p>
            <w:pPr>
              <w:ind w:left="600"/>
              <w:spacing w:after="0"/>
              <w:rPr>
                <w:sz w:val="20"/>
                <w:szCs w:val="20"/>
                <w:color w:val="auto"/>
              </w:rPr>
            </w:pPr>
            <w:r>
              <w:rPr>
                <w:rFonts w:ascii="Arial" w:cs="Arial" w:eastAsia="Arial" w:hAnsi="Arial"/>
                <w:sz w:val="16"/>
                <w:szCs w:val="16"/>
                <w:color w:val="6D6D6D"/>
              </w:rPr>
              <w:t>157,979,898 and 156,940,866 outstanding at September 30, 2024 and December 31, 2023, respectively</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Additional paid-in capital</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6,822,489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6,715,149</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Dividends in excess of earnings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(1,035,710)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(816,152)</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Treasury common stock at cost, 78,900 shares at September 30, 2024 and December 31, 2023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(2,722)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(2,722)</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Accumulated other comprehensive loss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(26,428)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(21,147)</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Total stockholders’ equity attributable to BXP, Inc.</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5,759,209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5,876,697</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Noncontrolling interests: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Common units of the Operating Partnership</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638,129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666,580</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Property partnerships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1,874,272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1,640,704</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8,271,610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8,183,981</w:t>
            </w:r>
          </w:p>
        </w:tc>
        <w:tc>
          <w:tcPr>
            <w:tcW w:w="0" w:type="dxa"/>
            <w:vAlign w:val="bottom"/>
          </w:tcPr>
          <w:p>
            <w:pPr>
              <w:spacing w:after="0"/>
              <w:rPr>
                <w:sz w:val="1"/>
                <w:szCs w:val="1"/>
                <w:color w:val="auto"/>
              </w:rPr>
            </w:pPr>
          </w:p>
        </w:tc>
      </w:tr>
      <w:tr>
        <w:trPr>
          <w:trHeight w:val="209"/>
        </w:trPr>
        <w:tc>
          <w:tcPr>
            <w:tcW w:w="8100" w:type="dxa"/>
            <w:vAlign w:val="bottom"/>
          </w:tcPr>
          <w:p>
            <w:pPr>
              <w:ind w:left="680"/>
              <w:spacing w:after="0"/>
              <w:rPr>
                <w:sz w:val="20"/>
                <w:szCs w:val="20"/>
                <w:color w:val="auto"/>
              </w:rPr>
            </w:pPr>
            <w:r>
              <w:rPr>
                <w:rFonts w:ascii="Arial" w:cs="Arial" w:eastAsia="Arial" w:hAnsi="Arial"/>
                <w:sz w:val="16"/>
                <w:szCs w:val="16"/>
                <w:color w:val="6D6D6D"/>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26,405,536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26,026,149</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6D6D6D"/>
        </w:rPr>
        <w:t>BXP,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6D6D6D"/>
              </w:rPr>
              <w:t>Three months ended</w:t>
            </w:r>
          </w:p>
        </w:tc>
        <w:tc>
          <w:tcPr>
            <w:tcW w:w="180" w:type="dxa"/>
            <w:vAlign w:val="bottom"/>
          </w:tcPr>
          <w:p>
            <w:pPr>
              <w:spacing w:after="0"/>
              <w:rPr>
                <w:sz w:val="16"/>
                <w:szCs w:val="16"/>
                <w:color w:val="auto"/>
              </w:rPr>
            </w:pPr>
          </w:p>
        </w:tc>
        <w:tc>
          <w:tcPr>
            <w:tcW w:w="21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6D6D6D"/>
              </w:rPr>
              <w:t>Nine months ended</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6D6D6D"/>
              </w:rPr>
              <w:t>September 30,</w:t>
            </w:r>
          </w:p>
        </w:tc>
        <w:tc>
          <w:tcPr>
            <w:tcW w:w="180" w:type="dxa"/>
            <w:vAlign w:val="bottom"/>
          </w:tcPr>
          <w:p>
            <w:pPr>
              <w:spacing w:after="0"/>
              <w:rPr>
                <w:sz w:val="18"/>
                <w:szCs w:val="18"/>
                <w:color w:val="auto"/>
              </w:rPr>
            </w:pPr>
          </w:p>
        </w:tc>
        <w:tc>
          <w:tcPr>
            <w:tcW w:w="21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6D6D6D"/>
              </w:rPr>
              <w:t>September 30,</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2024</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2023</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2024</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2023</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10"/>
          </w:tcPr>
          <w:p>
            <w:pPr>
              <w:jc w:val="right"/>
              <w:ind w:right="579"/>
              <w:spacing w:after="0"/>
              <w:rPr>
                <w:sz w:val="20"/>
                <w:szCs w:val="20"/>
                <w:color w:val="auto"/>
              </w:rPr>
            </w:pPr>
            <w:r>
              <w:rPr>
                <w:rFonts w:ascii="Arial" w:cs="Arial" w:eastAsia="Arial" w:hAnsi="Arial"/>
                <w:sz w:val="16"/>
                <w:szCs w:val="16"/>
                <w:b w:val="1"/>
                <w:bCs w:val="1"/>
                <w:color w:val="6D6D6D"/>
              </w:rPr>
              <w:t>(in thousands, except for per share amounts)</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Lease</w:t>
            </w:r>
          </w:p>
        </w:tc>
        <w:tc>
          <w:tcPr>
            <w:tcW w:w="220" w:type="dxa"/>
            <w:vAlign w:val="bottom"/>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Pr>
          <w:p>
            <w:pPr>
              <w:jc w:val="right"/>
              <w:spacing w:after="0"/>
              <w:rPr>
                <w:sz w:val="20"/>
                <w:szCs w:val="20"/>
                <w:color w:val="auto"/>
              </w:rPr>
            </w:pPr>
            <w:r>
              <w:rPr>
                <w:rFonts w:ascii="Arial" w:cs="Arial" w:eastAsia="Arial" w:hAnsi="Arial"/>
                <w:sz w:val="16"/>
                <w:szCs w:val="16"/>
                <w:color w:val="6D6D6D"/>
              </w:rPr>
              <w:t>799,471</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Pr>
          <w:p>
            <w:pPr>
              <w:jc w:val="right"/>
              <w:spacing w:after="0"/>
              <w:rPr>
                <w:sz w:val="20"/>
                <w:szCs w:val="20"/>
                <w:color w:val="auto"/>
              </w:rPr>
            </w:pPr>
            <w:r>
              <w:rPr>
                <w:rFonts w:ascii="Arial" w:cs="Arial" w:eastAsia="Arial" w:hAnsi="Arial"/>
                <w:sz w:val="16"/>
                <w:szCs w:val="16"/>
                <w:color w:val="6D6D6D"/>
              </w:rPr>
              <w:t>767,181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Pr>
          <w:p>
            <w:pPr>
              <w:jc w:val="right"/>
              <w:spacing w:after="0"/>
              <w:rPr>
                <w:sz w:val="20"/>
                <w:szCs w:val="20"/>
                <w:color w:val="auto"/>
              </w:rPr>
            </w:pPr>
            <w:r>
              <w:rPr>
                <w:rFonts w:ascii="Arial" w:cs="Arial" w:eastAsia="Arial" w:hAnsi="Arial"/>
                <w:sz w:val="16"/>
                <w:szCs w:val="16"/>
                <w:color w:val="6D6D6D"/>
              </w:rPr>
              <w:t>2,378,616</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6D6D6D"/>
              </w:rPr>
              <w:t>$</w:t>
            </w:r>
          </w:p>
        </w:tc>
        <w:tc>
          <w:tcPr>
            <w:tcW w:w="880" w:type="dxa"/>
            <w:vAlign w:val="bottom"/>
          </w:tcPr>
          <w:p>
            <w:pPr>
              <w:jc w:val="right"/>
              <w:spacing w:after="0"/>
              <w:rPr>
                <w:sz w:val="20"/>
                <w:szCs w:val="20"/>
                <w:color w:val="auto"/>
              </w:rPr>
            </w:pPr>
            <w:r>
              <w:rPr>
                <w:rFonts w:ascii="Arial" w:cs="Arial" w:eastAsia="Arial" w:hAnsi="Arial"/>
                <w:sz w:val="16"/>
                <w:szCs w:val="16"/>
                <w:color w:val="6D6D6D"/>
              </w:rPr>
              <w:t>2,285,789</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Parking and other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34,255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30,428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101,086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81,421</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Hotel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15,082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13,484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38,080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35,554</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Development and management services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6,770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9,284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19,276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28,122</w:t>
            </w:r>
          </w:p>
        </w:tc>
        <w:tc>
          <w:tcPr>
            <w:tcW w:w="0" w:type="dxa"/>
            <w:vAlign w:val="bottom"/>
          </w:tcPr>
          <w:p>
            <w:pPr>
              <w:spacing w:after="0"/>
              <w:rPr>
                <w:sz w:val="1"/>
                <w:szCs w:val="1"/>
                <w:color w:val="auto"/>
              </w:rPr>
            </w:pPr>
          </w:p>
        </w:tc>
      </w:tr>
      <w:tr>
        <w:trPr>
          <w:trHeight w:val="162"/>
        </w:trPr>
        <w:tc>
          <w:tcPr>
            <w:tcW w:w="6440" w:type="dxa"/>
            <w:vAlign w:val="bottom"/>
          </w:tcPr>
          <w:p>
            <w:pPr>
              <w:ind w:left="360"/>
              <w:spacing w:after="0" w:line="162" w:lineRule="exact"/>
              <w:rPr>
                <w:sz w:val="20"/>
                <w:szCs w:val="20"/>
                <w:color w:val="auto"/>
              </w:rPr>
            </w:pPr>
            <w:r>
              <w:rPr>
                <w:rFonts w:ascii="Arial" w:cs="Arial" w:eastAsia="Arial" w:hAnsi="Arial"/>
                <w:sz w:val="16"/>
                <w:szCs w:val="16"/>
                <w:color w:val="6D6D6D"/>
              </w:rPr>
              <w:t>Direct reimbursements of payroll and related costs from management services</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6D6D6D"/>
              </w:rPr>
              <w:t>3,649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3,906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6D6D6D"/>
              </w:rPr>
              <w:t>12,090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6D6D6D"/>
              </w:rPr>
              <w:t>13,750</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6D6D6D"/>
              </w:rPr>
              <w:t>contracts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120"/>
              <w:spacing w:after="0"/>
              <w:rPr>
                <w:sz w:val="20"/>
                <w:szCs w:val="20"/>
                <w:color w:val="auto"/>
              </w:rPr>
            </w:pPr>
            <w:r>
              <w:rPr>
                <w:rFonts w:ascii="Arial" w:cs="Arial" w:eastAsia="Arial" w:hAnsi="Arial"/>
                <w:sz w:val="16"/>
                <w:szCs w:val="16"/>
                <w:color w:val="6D6D6D"/>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859,227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824,283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2,549,148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2,444,636</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Arial" w:cs="Arial" w:eastAsia="Arial" w:hAnsi="Arial"/>
                <w:sz w:val="16"/>
                <w:szCs w:val="16"/>
                <w:color w:val="6D6D6D"/>
              </w:rPr>
              <w:t>Expenses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Operating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680"/>
              <w:spacing w:after="0"/>
              <w:rPr>
                <w:sz w:val="20"/>
                <w:szCs w:val="20"/>
                <w:color w:val="auto"/>
              </w:rPr>
            </w:pPr>
            <w:r>
              <w:rPr>
                <w:rFonts w:ascii="Arial" w:cs="Arial" w:eastAsia="Arial" w:hAnsi="Arial"/>
                <w:sz w:val="16"/>
                <w:szCs w:val="16"/>
                <w:color w:val="6D6D6D"/>
              </w:rPr>
              <w:t>Rental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327,897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300,192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963,480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882,536</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Hotel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9,833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25,687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23,852</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General and administrative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33,352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31,410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127,479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131,387</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Payroll and related costs from management services contracts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3,649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13,750</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Transaction costs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751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1,970</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222,890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207,435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661,148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618,746</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6D6D6D"/>
              </w:rPr>
              <w:t>Total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597,809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552,714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1,790,774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1,672,241</w:t>
            </w: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Other income (expense)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Income (loss) from unconsolidated joint ventures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(7,011)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(247,556)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6,376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(261,793)</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Gains on sales of real estate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517</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Interest and other income (loss)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14,430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20,715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39,747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48,999</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Gains (losses) from investments in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2,198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4,785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2,311</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Unrealized gain (loss) on non-real estate investment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548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332</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Impairment loss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6D6D6D"/>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6D6D6D"/>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(13,615)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Interest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(163,194)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(147,812)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(474,727)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(424,492)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108,452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(103,543)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322,005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138,269</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6D6D6D"/>
              </w:rPr>
              <w:t>Net (income) loss attributable to noncontrolling interests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Noncontrolling interests in property partnerships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(15,237)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(20,909)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(50,283)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(59,337)</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Noncontrolling interest—common units of the Operating Partnership</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(9,587)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12,626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(28,596)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(8,642)</w:t>
            </w:r>
          </w:p>
        </w:tc>
        <w:tc>
          <w:tcPr>
            <w:tcW w:w="0" w:type="dxa"/>
            <w:vAlign w:val="bottom"/>
          </w:tcPr>
          <w:p>
            <w:pPr>
              <w:spacing w:after="0"/>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Net income (loss) attributable to BXP,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83,628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(111,826)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243,126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70,290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6D6D6D"/>
              </w:rPr>
              <w:t>Basic earnings per common share attributable to BXP, Inc.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0.53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(0.71)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0.45</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Weighted average number of common shares outstanding</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157,725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156,880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157,250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156,837</w:t>
            </w: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Diluted earnings per common share attributable to BXP, Inc.</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Net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(0.71)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0.45</w:t>
            </w:r>
          </w:p>
        </w:tc>
        <w:tc>
          <w:tcPr>
            <w:tcW w:w="0" w:type="dxa"/>
            <w:vAlign w:val="bottom"/>
          </w:tcPr>
          <w:p>
            <w:pPr>
              <w:spacing w:after="0"/>
              <w:rPr>
                <w:sz w:val="1"/>
                <w:szCs w:val="1"/>
                <w:color w:val="auto"/>
              </w:rPr>
            </w:pPr>
          </w:p>
        </w:tc>
      </w:tr>
      <w:tr>
        <w:trPr>
          <w:trHeight w:val="143"/>
        </w:trPr>
        <w:tc>
          <w:tcPr>
            <w:tcW w:w="64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6D6D6D"/>
              </w:rPr>
              <w:t>Weighted average number of common and common equivalent shares</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158,213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156,880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157,547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157,177</w:t>
            </w: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600"/>
              <w:spacing w:after="0"/>
              <w:rPr>
                <w:sz w:val="20"/>
                <w:szCs w:val="20"/>
                <w:color w:val="auto"/>
              </w:rPr>
            </w:pPr>
            <w:r>
              <w:rPr>
                <w:rFonts w:ascii="Arial" w:cs="Arial" w:eastAsia="Arial" w:hAnsi="Arial"/>
                <w:sz w:val="16"/>
                <w:szCs w:val="16"/>
                <w:color w:val="6D6D6D"/>
              </w:rPr>
              <w:t>outstanding</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769" w:right="3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6D6D6D"/>
        </w:rPr>
        <w:t>BXP, INC.</w:t>
      </w:r>
    </w:p>
    <w:p>
      <w:pPr>
        <w:jc w:val="center"/>
        <w:ind w:right="-19"/>
        <w:spacing w:after="0" w:line="220" w:lineRule="auto"/>
        <w:rPr>
          <w:sz w:val="20"/>
          <w:szCs w:val="20"/>
          <w:color w:val="auto"/>
        </w:rPr>
      </w:pPr>
      <w:r>
        <w:rPr>
          <w:rFonts w:ascii="Arial" w:cs="Arial" w:eastAsia="Arial" w:hAnsi="Arial"/>
          <w:sz w:val="18"/>
          <w:szCs w:val="18"/>
          <w:b w:val="1"/>
          <w:bCs w:val="1"/>
          <w:color w:val="6D6D6D"/>
        </w:rPr>
        <w:t xml:space="preserve">FUNDS FROM OPERATIONS </w:t>
      </w:r>
      <w:r>
        <w:rPr>
          <w:rFonts w:ascii="Arial" w:cs="Arial" w:eastAsia="Arial" w:hAnsi="Arial"/>
          <w:sz w:val="23"/>
          <w:szCs w:val="23"/>
          <w:b w:val="1"/>
          <w:bCs w:val="1"/>
          <w:color w:val="6D6D6D"/>
          <w:vertAlign w:val="superscript"/>
        </w:rPr>
        <w:t>(1)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700" w:type="dxa"/>
            <w:vAlign w:val="bottom"/>
            <w:gridSpan w:val="7"/>
          </w:tcPr>
          <w:p>
            <w:pPr>
              <w:ind w:left="20"/>
              <w:spacing w:after="0"/>
              <w:rPr>
                <w:sz w:val="20"/>
                <w:szCs w:val="20"/>
                <w:color w:val="auto"/>
              </w:rPr>
            </w:pPr>
            <w:r>
              <w:rPr>
                <w:rFonts w:ascii="Arial" w:cs="Arial" w:eastAsia="Arial" w:hAnsi="Arial"/>
                <w:sz w:val="16"/>
                <w:szCs w:val="16"/>
                <w:b w:val="1"/>
                <w:bCs w:val="1"/>
                <w:color w:val="6D6D6D"/>
              </w:rPr>
              <w:t>Three months ended September</w:t>
            </w:r>
          </w:p>
        </w:tc>
        <w:tc>
          <w:tcPr>
            <w:tcW w:w="2500" w:type="dxa"/>
            <w:vAlign w:val="bottom"/>
            <w:gridSpan w:val="6"/>
          </w:tcPr>
          <w:p>
            <w:pPr>
              <w:jc w:val="right"/>
              <w:spacing w:after="0"/>
              <w:rPr>
                <w:sz w:val="20"/>
                <w:szCs w:val="20"/>
                <w:color w:val="auto"/>
              </w:rPr>
            </w:pPr>
            <w:r>
              <w:rPr>
                <w:rFonts w:ascii="Arial" w:cs="Arial" w:eastAsia="Arial" w:hAnsi="Arial"/>
                <w:sz w:val="16"/>
                <w:szCs w:val="16"/>
                <w:b w:val="1"/>
                <w:bCs w:val="1"/>
                <w:color w:val="6D6D6D"/>
              </w:rPr>
              <w:t>Nine months ended September</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6D6D6D"/>
              </w:rPr>
              <w:t>30,</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6D6D6D"/>
              </w:rPr>
              <w:t>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6D6D6D"/>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6D6D6D"/>
              </w:rPr>
              <w:t>2023</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6D6D6D"/>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6D6D6D"/>
              </w:rPr>
              <w:t>2023</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40" w:type="dxa"/>
            <w:vAlign w:val="bottom"/>
            <w:gridSpan w:val="11"/>
          </w:tcPr>
          <w:p>
            <w:pPr>
              <w:jc w:val="right"/>
              <w:spacing w:after="0"/>
              <w:rPr>
                <w:sz w:val="20"/>
                <w:szCs w:val="20"/>
                <w:color w:val="auto"/>
              </w:rPr>
            </w:pPr>
            <w:r>
              <w:rPr>
                <w:rFonts w:ascii="Arial" w:cs="Arial" w:eastAsia="Arial" w:hAnsi="Arial"/>
                <w:sz w:val="16"/>
                <w:szCs w:val="16"/>
                <w:b w:val="1"/>
                <w:bCs w:val="1"/>
                <w:color w:val="6D6D6D"/>
              </w:rPr>
              <w:t>(in thousands, except for per share amounts)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 attributable to BXP, Inc.</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83,628</w:t>
            </w:r>
          </w:p>
        </w:tc>
        <w:tc>
          <w:tcPr>
            <w:tcW w:w="4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6D6D6D"/>
              </w:rPr>
              <w:t>(111,826)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243,126</w:t>
            </w:r>
          </w:p>
        </w:tc>
        <w:tc>
          <w:tcPr>
            <w:tcW w:w="6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6D6D6D"/>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70,290</w:t>
            </w:r>
          </w:p>
        </w:tc>
        <w:tc>
          <w:tcPr>
            <w:tcW w:w="0" w:type="dxa"/>
            <w:vAlign w:val="bottom"/>
          </w:tcPr>
          <w:p>
            <w:pPr>
              <w:spacing w:after="0"/>
              <w:rPr>
                <w:sz w:val="1"/>
                <w:szCs w:val="1"/>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6D6D6D"/>
              </w:rPr>
              <w:t>Add: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Noncontrolling interest - common units of the Operating Partnership</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9,587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6D6D6D"/>
              </w:rPr>
              <w:t>(12,626)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28,596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8,642</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6D6D6D"/>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6D6D6D"/>
              </w:rPr>
              <w:t>15,237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6D6D6D"/>
              </w:rPr>
              <w:t>20,909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6D6D6D"/>
              </w:rPr>
              <w:t>50,283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6D6D6D"/>
              </w:rPr>
              <w:t>59,337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108,452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6D6D6D"/>
              </w:rPr>
              <w:t>(103,543)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322,005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138,269</w:t>
            </w:r>
          </w:p>
        </w:tc>
        <w:tc>
          <w:tcPr>
            <w:tcW w:w="0" w:type="dxa"/>
            <w:vAlign w:val="bottom"/>
          </w:tcPr>
          <w:p>
            <w:pPr>
              <w:spacing w:after="0"/>
              <w:rPr>
                <w:sz w:val="1"/>
                <w:szCs w:val="1"/>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6D6D6D"/>
              </w:rPr>
              <w:t>Add: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Depreciation and amortization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222,890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207,435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661,148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618,746</w:t>
            </w: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line="162" w:lineRule="exact"/>
              <w:rPr>
                <w:sz w:val="20"/>
                <w:szCs w:val="20"/>
                <w:color w:val="auto"/>
              </w:rPr>
            </w:pPr>
            <w:r>
              <w:rPr>
                <w:rFonts w:ascii="Arial" w:cs="Arial" w:eastAsia="Arial" w:hAnsi="Arial"/>
                <w:sz w:val="16"/>
                <w:szCs w:val="16"/>
                <w:color w:val="6D6D6D"/>
              </w:rPr>
              <w:t>Noncontrolling interests in property partnerships’ share of depreciation and</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(18,857)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6D6D6D"/>
              </w:rPr>
              <w:t>(18,174)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(56,755)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6D6D6D"/>
              </w:rPr>
              <w:t>(53,743)</w:t>
            </w:r>
          </w:p>
        </w:tc>
        <w:tc>
          <w:tcPr>
            <w:tcW w:w="0" w:type="dxa"/>
            <w:vAlign w:val="bottom"/>
          </w:tcPr>
          <w:p>
            <w:pPr>
              <w:spacing w:after="0"/>
              <w:rPr>
                <w:sz w:val="1"/>
                <w:szCs w:val="1"/>
                <w:color w:val="auto"/>
              </w:rPr>
            </w:pPr>
          </w:p>
        </w:tc>
      </w:tr>
      <w:tr>
        <w:trPr>
          <w:trHeight w:val="215"/>
        </w:trPr>
        <w:tc>
          <w:tcPr>
            <w:tcW w:w="6020" w:type="dxa"/>
            <w:vAlign w:val="bottom"/>
          </w:tcPr>
          <w:p>
            <w:pPr>
              <w:ind w:left="520"/>
              <w:spacing w:after="0"/>
              <w:rPr>
                <w:sz w:val="20"/>
                <w:szCs w:val="20"/>
                <w:color w:val="auto"/>
              </w:rPr>
            </w:pPr>
            <w:r>
              <w:rPr>
                <w:rFonts w:ascii="Arial" w:cs="Arial" w:eastAsia="Arial" w:hAnsi="Arial"/>
                <w:sz w:val="16"/>
                <w:szCs w:val="16"/>
                <w:color w:val="6D6D6D"/>
              </w:rPr>
              <w:t>amortization</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6D6D6D"/>
              </w:rPr>
              <w:t>Company’s share of depreciation and amortization from unconsolidated joint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20,757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25,666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60,807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77,067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520"/>
              <w:spacing w:after="0"/>
              <w:rPr>
                <w:sz w:val="20"/>
                <w:szCs w:val="20"/>
                <w:color w:val="auto"/>
              </w:rPr>
            </w:pPr>
            <w:r>
              <w:rPr>
                <w:rFonts w:ascii="Arial" w:cs="Arial" w:eastAsia="Arial" w:hAnsi="Arial"/>
                <w:sz w:val="16"/>
                <w:szCs w:val="16"/>
                <w:color w:val="6D6D6D"/>
              </w:rPr>
              <w:t>ventures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6"/>
                <w:szCs w:val="16"/>
                <w:color w:val="6D6D6D"/>
              </w:rPr>
              <w:t>Corporate-related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(438)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6D6D6D"/>
              </w:rPr>
              <w:t>(446)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6D6D6D"/>
              </w:rPr>
              <w:t>(1,357)</w:t>
            </w: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Non-real estate related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6"/>
                <w:szCs w:val="16"/>
                <w:color w:val="6D6D6D"/>
              </w:rPr>
              <w:t>Impairment losses</w:t>
            </w: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13,615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163"/>
        </w:trPr>
        <w:tc>
          <w:tcPr>
            <w:tcW w:w="60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6D6D6D"/>
              </w:rPr>
              <w:t>Impairment losses included within Income (loss) from unconsolidated joint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272,603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272,603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ventures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6D6D6D"/>
              </w:rPr>
              <w:t>Less: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Gains on sales of real estate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517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517</w:t>
            </w: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line="162" w:lineRule="exact"/>
              <w:rPr>
                <w:sz w:val="20"/>
                <w:szCs w:val="20"/>
                <w:color w:val="auto"/>
              </w:rPr>
            </w:pPr>
            <w:r>
              <w:rPr>
                <w:rFonts w:ascii="Arial" w:cs="Arial" w:eastAsia="Arial" w:hAnsi="Arial"/>
                <w:sz w:val="16"/>
                <w:szCs w:val="16"/>
                <w:color w:val="6D6D6D"/>
              </w:rPr>
              <w:t>Gain on sale / consolidation included within income (loss) from unconsolidated</w:t>
            </w:r>
          </w:p>
        </w:tc>
        <w:tc>
          <w:tcPr>
            <w:tcW w:w="24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21,696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6020" w:type="dxa"/>
            <w:vAlign w:val="bottom"/>
          </w:tcPr>
          <w:p>
            <w:pPr>
              <w:ind w:left="520"/>
              <w:spacing w:after="0"/>
              <w:rPr>
                <w:sz w:val="20"/>
                <w:szCs w:val="20"/>
                <w:color w:val="auto"/>
              </w:rPr>
            </w:pPr>
            <w:r>
              <w:rPr>
                <w:rFonts w:ascii="Arial" w:cs="Arial" w:eastAsia="Arial" w:hAnsi="Arial"/>
                <w:sz w:val="16"/>
                <w:szCs w:val="16"/>
                <w:color w:val="6D6D6D"/>
              </w:rPr>
              <w:t>joint ventures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6D6D6D"/>
              </w:rPr>
              <w:t>Gain on investment included within income (loss) from unconsolidated joint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35,756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35,756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520"/>
              <w:spacing w:after="0"/>
              <w:rPr>
                <w:sz w:val="20"/>
                <w:szCs w:val="20"/>
                <w:color w:val="auto"/>
              </w:rPr>
            </w:pPr>
            <w:r>
              <w:rPr>
                <w:rFonts w:ascii="Arial" w:cs="Arial" w:eastAsia="Arial" w:hAnsi="Arial"/>
                <w:sz w:val="16"/>
                <w:szCs w:val="16"/>
                <w:color w:val="6D6D6D"/>
              </w:rPr>
              <w:t>ventures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6"/>
                <w:szCs w:val="16"/>
                <w:color w:val="6D6D6D"/>
              </w:rPr>
              <w:t>Unrealized gain (loss) on non-real estate investment</w:t>
            </w: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6D6D6D"/>
              </w:rPr>
              <w:t>(51)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332</w:t>
            </w: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15,237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20,909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50,283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59,337</w:t>
            </w:r>
          </w:p>
        </w:tc>
        <w:tc>
          <w:tcPr>
            <w:tcW w:w="0" w:type="dxa"/>
            <w:vAlign w:val="bottom"/>
          </w:tcPr>
          <w:p>
            <w:pPr>
              <w:spacing w:after="0"/>
              <w:rPr>
                <w:sz w:val="1"/>
                <w:szCs w:val="1"/>
                <w:color w:val="auto"/>
              </w:rPr>
            </w:pPr>
          </w:p>
        </w:tc>
      </w:tr>
      <w:tr>
        <w:trPr>
          <w:trHeight w:val="142"/>
        </w:trPr>
        <w:tc>
          <w:tcPr>
            <w:tcW w:w="6020" w:type="dxa"/>
            <w:vAlign w:val="bottom"/>
          </w:tcPr>
          <w:p>
            <w:pPr>
              <w:ind w:left="20"/>
              <w:spacing w:after="0" w:line="142" w:lineRule="exact"/>
              <w:rPr>
                <w:sz w:val="20"/>
                <w:szCs w:val="20"/>
                <w:color w:val="auto"/>
              </w:rPr>
            </w:pPr>
            <w:r>
              <w:rPr>
                <w:rFonts w:ascii="Arial" w:cs="Arial" w:eastAsia="Arial" w:hAnsi="Arial"/>
                <w:sz w:val="16"/>
                <w:szCs w:val="16"/>
                <w:color w:val="6D6D6D"/>
              </w:rPr>
              <w:t>Funds from operations (FFO) attributable to the Operating Partnership (including</w:t>
            </w:r>
          </w:p>
        </w:tc>
        <w:tc>
          <w:tcPr>
            <w:tcW w:w="24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319,086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6D6D6D"/>
              </w:rPr>
              <w:t>326,410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932,903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955,643</w:t>
            </w: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6"/>
                <w:szCs w:val="16"/>
                <w:color w:val="6D6D6D"/>
              </w:rPr>
              <w:t>BXP, Inc.)</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Less: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line="162" w:lineRule="exact"/>
              <w:rPr>
                <w:sz w:val="20"/>
                <w:szCs w:val="20"/>
                <w:color w:val="auto"/>
              </w:rPr>
            </w:pPr>
            <w:r>
              <w:rPr>
                <w:rFonts w:ascii="Arial" w:cs="Arial" w:eastAsia="Arial" w:hAnsi="Arial"/>
                <w:sz w:val="16"/>
                <w:szCs w:val="16"/>
                <w:color w:val="6D6D6D"/>
              </w:rPr>
              <w:t>Noncontrolling interest - common units of the Operating Partnership’s share of</w:t>
            </w:r>
          </w:p>
        </w:tc>
        <w:tc>
          <w:tcPr>
            <w:tcW w:w="24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32,228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6D6D6D"/>
              </w:rPr>
              <w:t>33,588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96,369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98,049</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6D6D6D"/>
              </w:rPr>
              <w:t>funds from operations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Funds from operations attributable to BXP, Inc.</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286,858</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292,822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836,534</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6D6D6D"/>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857,594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ind w:left="20"/>
              <w:spacing w:after="0"/>
              <w:rPr>
                <w:sz w:val="20"/>
                <w:szCs w:val="20"/>
                <w:color w:val="auto"/>
              </w:rPr>
            </w:pPr>
            <w:r>
              <w:rPr>
                <w:rFonts w:ascii="Arial" w:cs="Arial" w:eastAsia="Arial" w:hAnsi="Arial"/>
                <w:sz w:val="16"/>
                <w:szCs w:val="16"/>
                <w:color w:val="6D6D6D"/>
              </w:rPr>
              <w:t>BXP, Inc.’s percentage share of funds from operations - basic</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6D6D6D"/>
              </w:rPr>
              <w:t>89.90 %</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89.71 %</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6D6D6D"/>
              </w:rPr>
              <w:t>89.67 %</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89.74 %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Weighted average shares outstanding - basic</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157,725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156,880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157,250</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156,837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ind w:left="260"/>
              <w:spacing w:after="0"/>
              <w:rPr>
                <w:sz w:val="20"/>
                <w:szCs w:val="20"/>
                <w:color w:val="auto"/>
              </w:rPr>
            </w:pPr>
            <w:r>
              <w:rPr>
                <w:rFonts w:ascii="Arial" w:cs="Arial" w:eastAsia="Arial" w:hAnsi="Arial"/>
                <w:sz w:val="16"/>
                <w:szCs w:val="16"/>
                <w:color w:val="6D6D6D"/>
              </w:rPr>
              <w:t>FFO per share basic</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6D6D6D"/>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1.82</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6D6D6D"/>
                <w:w w:val="8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1.87</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5.32</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6D6D6D"/>
                <w:w w:val="8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5.47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Weighted average shares 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158,213</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156,880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157,547</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157,177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ind w:left="260"/>
              <w:spacing w:after="0"/>
              <w:rPr>
                <w:sz w:val="20"/>
                <w:szCs w:val="20"/>
                <w:color w:val="auto"/>
              </w:rPr>
            </w:pPr>
            <w:r>
              <w:rPr>
                <w:rFonts w:ascii="Arial" w:cs="Arial" w:eastAsia="Arial" w:hAnsi="Arial"/>
                <w:sz w:val="16"/>
                <w:szCs w:val="16"/>
                <w:color w:val="6D6D6D"/>
              </w:rPr>
              <w:t>FFO per share diluted</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6D6D6D"/>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1.81</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6D6D6D"/>
                <w:w w:val="8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1.86</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5.31</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6D6D6D"/>
                <w:w w:val="8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5.46</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93" w:right="359" w:bottom="1440" w:gutter="0" w:footer="0" w:header="0"/>
        </w:sectPr>
      </w:pPr>
    </w:p>
    <w:bookmarkStart w:id="85" w:name="page86"/>
    <w:bookmarkEnd w:id="85"/>
    <w:p>
      <w:pPr>
        <w:ind w:left="332" w:right="20" w:hanging="332"/>
        <w:spacing w:after="0" w:line="253" w:lineRule="auto"/>
        <w:tabs>
          <w:tab w:leader="none" w:pos="322" w:val="left"/>
        </w:tabs>
        <w:numPr>
          <w:ilvl w:val="0"/>
          <w:numId w:val="133"/>
        </w:numPr>
        <w:rPr>
          <w:rFonts w:ascii="Arial" w:cs="Arial" w:eastAsia="Arial" w:hAnsi="Arial"/>
          <w:sz w:val="18"/>
          <w:szCs w:val="18"/>
          <w:color w:val="6D6D6D"/>
        </w:rPr>
      </w:pPr>
      <w:r>
        <w:rPr>
          <w:rFonts w:ascii="Arial" w:cs="Arial" w:eastAsia="Arial" w:hAnsi="Arial"/>
          <w:sz w:val="18"/>
          <w:szCs w:val="18"/>
          <w:color w:val="6D6D6D"/>
        </w:rPr>
        <w:t>Pursuant to the revised definition of Funds from Operations adopted by the Board of Governors of the National Association of Real Estate Investment Trusts (“Nareit”), we calculate Funds from Operations, or “FFO,” by adjusting net income (loss) attributable to BXP, Inc. (computed in accordance with GAAP)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real estate-related depreciation and amortization. FFO is a non-GAAP financial measure, but we believe the presentation of FFO, combined with the presentation of required GAAP financial measures, has improved the understanding of operating results of REITs among the investing public and has helped make comparisons of REIT operating results more meaningful. Management generally considers FFO and FFO per share to be useful measures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w:t>
      </w:r>
      <w:r>
        <w:rPr>
          <w:rFonts w:ascii="Arial" w:cs="Arial" w:eastAsia="Arial" w:hAnsi="Arial"/>
          <w:sz w:val="16"/>
          <w:szCs w:val="16"/>
          <w:color w:val="6D6D6D"/>
        </w:rPr>
        <w:t>’</w:t>
      </w:r>
      <w:r>
        <w:rPr>
          <w:rFonts w:ascii="Arial" w:cs="Arial" w:eastAsia="Arial" w:hAnsi="Arial"/>
          <w:sz w:val="18"/>
          <w:szCs w:val="18"/>
          <w:color w:val="6D6D6D"/>
        </w:rPr>
        <w:t>s real estate across reporting periods and to the operating performance of other companies.</w:t>
      </w:r>
    </w:p>
    <w:p>
      <w:pPr>
        <w:spacing w:after="0" w:line="133" w:lineRule="exact"/>
        <w:rPr>
          <w:rFonts w:ascii="Arial" w:cs="Arial" w:eastAsia="Arial" w:hAnsi="Arial"/>
          <w:sz w:val="18"/>
          <w:szCs w:val="18"/>
          <w:color w:val="6D6D6D"/>
        </w:rPr>
      </w:pPr>
    </w:p>
    <w:p>
      <w:pPr>
        <w:ind w:left="332" w:right="220"/>
        <w:spacing w:after="0" w:line="287" w:lineRule="auto"/>
        <w:rPr>
          <w:rFonts w:ascii="Arial" w:cs="Arial" w:eastAsia="Arial" w:hAnsi="Arial"/>
          <w:sz w:val="18"/>
          <w:szCs w:val="18"/>
          <w:color w:val="6D6D6D"/>
        </w:rPr>
      </w:pPr>
      <w:r>
        <w:rPr>
          <w:rFonts w:ascii="Arial" w:cs="Arial" w:eastAsia="Arial" w:hAnsi="Arial"/>
          <w:sz w:val="18"/>
          <w:szCs w:val="18"/>
          <w:color w:val="6D6D6D"/>
        </w:rPr>
        <w:t>Our calculation of FFO may not be comparable to FFO reported by other REITs or real estate companies that do not define the term in accordance with the current Nareit definition or that interpret the current Nareit definition differently.</w:t>
      </w:r>
    </w:p>
    <w:p>
      <w:pPr>
        <w:spacing w:after="0" w:line="98" w:lineRule="exact"/>
        <w:rPr>
          <w:rFonts w:ascii="Arial" w:cs="Arial" w:eastAsia="Arial" w:hAnsi="Arial"/>
          <w:sz w:val="18"/>
          <w:szCs w:val="18"/>
          <w:color w:val="6D6D6D"/>
        </w:rPr>
      </w:pPr>
    </w:p>
    <w:p>
      <w:pPr>
        <w:ind w:left="332"/>
        <w:spacing w:after="0" w:line="262" w:lineRule="auto"/>
        <w:rPr>
          <w:rFonts w:ascii="Arial" w:cs="Arial" w:eastAsia="Arial" w:hAnsi="Arial"/>
          <w:sz w:val="18"/>
          <w:szCs w:val="18"/>
          <w:color w:val="6D6D6D"/>
        </w:rPr>
      </w:pPr>
      <w:r>
        <w:rPr>
          <w:rFonts w:ascii="Arial" w:cs="Arial" w:eastAsia="Arial" w:hAnsi="Arial"/>
          <w:sz w:val="18"/>
          <w:szCs w:val="18"/>
          <w:color w:val="6D6D6D"/>
        </w:rPr>
        <w:t>In order to facilitate a clear understanding of the Company’s operating results, FFO should be examined in conjunction with net income attributable to BXP, Inc. as presented in the Company’s consolidated financial statements. FFO should not be considered as a substitute for net income attributable to BXP, Inc. (determined in accordance with GAAP) or any other GAAP financial measures and should only be considered together with and as a supplement to the Company’s financial information prepared in accordance with GAAP.</w:t>
      </w:r>
    </w:p>
    <w:p>
      <w:pPr>
        <w:sectPr>
          <w:pgSz w:w="11900" w:h="16838" w:orient="portrait"/>
          <w:cols w:equalWidth="0" w:num="1">
            <w:col w:w="11212"/>
          </w:cols>
          <w:pgMar w:left="328" w:top="1093" w:right="35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6D6D6D"/>
        </w:rPr>
        <w:t>BXP,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6D6D6D"/>
        </w:rPr>
        <w:t>PORTFOLIO LEASING PERCENTAGES</w:t>
      </w:r>
    </w:p>
    <w:p>
      <w:pPr>
        <w:sectPr>
          <w:pgSz w:w="11900" w:h="16838" w:orient="portrait"/>
          <w:cols w:equalWidth="0" w:num="1">
            <w:col w:w="11220"/>
          </w:cols>
          <w:pgMar w:left="320" w:top="1093" w:right="359" w:bottom="1440" w:gutter="0" w:footer="0" w:header="0"/>
        </w:sect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6D6D6D"/>
        </w:rPr>
        <w:t>CBD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ind w:left="1100"/>
              <w:spacing w:after="0"/>
              <w:rPr>
                <w:sz w:val="20"/>
                <w:szCs w:val="20"/>
                <w:color w:val="auto"/>
              </w:rPr>
            </w:pPr>
            <w:r>
              <w:rPr>
                <w:rFonts w:ascii="Arial" w:cs="Arial" w:eastAsia="Arial" w:hAnsi="Arial"/>
                <w:sz w:val="16"/>
                <w:szCs w:val="16"/>
                <w:b w:val="1"/>
                <w:bCs w:val="1"/>
                <w:color w:val="6D6D6D"/>
              </w:rPr>
              <w:t xml:space="preserve">% Occupied by Location </w:t>
            </w:r>
            <w:r>
              <w:rPr>
                <w:rFonts w:ascii="Arial" w:cs="Arial" w:eastAsia="Arial" w:hAnsi="Arial"/>
                <w:sz w:val="21"/>
                <w:szCs w:val="21"/>
                <w:b w:val="1"/>
                <w:bCs w:val="1"/>
                <w:color w:val="6D6D6D"/>
                <w:vertAlign w:val="superscript"/>
              </w:rPr>
              <w:t>(1)</w:t>
            </w:r>
          </w:p>
        </w:tc>
        <w:tc>
          <w:tcPr>
            <w:tcW w:w="4180" w:type="dxa"/>
            <w:vAlign w:val="bottom"/>
            <w:gridSpan w:val="2"/>
          </w:tcPr>
          <w:p>
            <w:pPr>
              <w:ind w:left="1140"/>
              <w:spacing w:after="0"/>
              <w:rPr>
                <w:sz w:val="20"/>
                <w:szCs w:val="20"/>
                <w:color w:val="auto"/>
              </w:rPr>
            </w:pPr>
            <w:r>
              <w:rPr>
                <w:rFonts w:ascii="Arial" w:cs="Arial" w:eastAsia="Arial" w:hAnsi="Arial"/>
                <w:sz w:val="16"/>
                <w:szCs w:val="16"/>
                <w:b w:val="1"/>
                <w:bCs w:val="1"/>
                <w:color w:val="6D6D6D"/>
              </w:rPr>
              <w:t xml:space="preserve">% Leased by Location </w:t>
            </w:r>
            <w:r>
              <w:rPr>
                <w:rFonts w:ascii="Arial" w:cs="Arial" w:eastAsia="Arial" w:hAnsi="Arial"/>
                <w:sz w:val="21"/>
                <w:szCs w:val="21"/>
                <w:b w:val="1"/>
                <w:bCs w:val="1"/>
                <w:color w:val="6D6D6D"/>
                <w:vertAlign w:val="superscript"/>
              </w:rPr>
              <w:t>(2)</w:t>
            </w:r>
          </w:p>
        </w:tc>
      </w:tr>
      <w:tr>
        <w:trPr>
          <w:trHeight w:val="210"/>
        </w:trPr>
        <w:tc>
          <w:tcPr>
            <w:tcW w:w="214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6D6D6D"/>
              </w:rPr>
              <w:t>September 30, 2024</w:t>
            </w:r>
          </w:p>
        </w:tc>
        <w:tc>
          <w:tcPr>
            <w:tcW w:w="2100" w:type="dxa"/>
            <w:vAlign w:val="bottom"/>
            <w:tcBorders>
              <w:top w:val="single" w:sz="8" w:color="auto"/>
            </w:tcBorders>
          </w:tcPr>
          <w:p>
            <w:pPr>
              <w:ind w:left="380"/>
              <w:spacing w:after="0"/>
              <w:rPr>
                <w:sz w:val="20"/>
                <w:szCs w:val="20"/>
                <w:color w:val="auto"/>
              </w:rPr>
            </w:pPr>
            <w:r>
              <w:rPr>
                <w:rFonts w:ascii="Arial" w:cs="Arial" w:eastAsia="Arial" w:hAnsi="Arial"/>
                <w:sz w:val="16"/>
                <w:szCs w:val="16"/>
                <w:b w:val="1"/>
                <w:bCs w:val="1"/>
                <w:color w:val="6D6D6D"/>
              </w:rPr>
              <w:t>December 31, 2023</w:t>
            </w:r>
          </w:p>
        </w:tc>
        <w:tc>
          <w:tcPr>
            <w:tcW w:w="260" w:type="dxa"/>
            <w:vAlign w:val="bottom"/>
          </w:tcPr>
          <w:p>
            <w:pPr>
              <w:spacing w:after="0"/>
              <w:rPr>
                <w:sz w:val="18"/>
                <w:szCs w:val="18"/>
                <w:color w:val="auto"/>
              </w:rPr>
            </w:pPr>
          </w:p>
        </w:tc>
        <w:tc>
          <w:tcPr>
            <w:tcW w:w="21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6D6D6D"/>
              </w:rPr>
              <w:t>September 30, 2024</w:t>
            </w:r>
          </w:p>
        </w:tc>
        <w:tc>
          <w:tcPr>
            <w:tcW w:w="208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6D6D6D"/>
              </w:rPr>
              <w:t>December 31, 2023</w:t>
            </w:r>
          </w:p>
        </w:tc>
      </w:tr>
    </w:tbl>
    <w:p>
      <w:pPr>
        <w:spacing w:after="0" w:line="1" w:lineRule="exact"/>
        <w:rPr>
          <w:sz w:val="20"/>
          <w:szCs w:val="20"/>
          <w:color w:val="auto"/>
        </w:rPr>
      </w:pPr>
    </w:p>
    <w:p>
      <w:pPr>
        <w:sectPr>
          <w:pgSz w:w="11900" w:h="16838" w:orient="portrait"/>
          <w:cols w:equalWidth="0" w:num="2">
            <w:col w:w="1780" w:space="720"/>
            <w:col w:w="8720"/>
          </w:cols>
          <w:pgMar w:left="320" w:top="1093" w:right="35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6D6D6D"/>
              </w:rPr>
              <w:t>Boston</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95.7 %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95.9 %</w:t>
            </w:r>
          </w:p>
        </w:tc>
        <w:tc>
          <w:tcPr>
            <w:tcW w:w="26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97.1 %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96.4 %</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6D6D6D"/>
              </w:rPr>
              <w:t>Los Angeles</w:t>
            </w:r>
          </w:p>
        </w:tc>
        <w:tc>
          <w:tcPr>
            <w:tcW w:w="2060" w:type="dxa"/>
            <w:vAlign w:val="bottom"/>
          </w:tcPr>
          <w:p>
            <w:pPr>
              <w:jc w:val="right"/>
              <w:spacing w:after="0"/>
              <w:rPr>
                <w:sz w:val="20"/>
                <w:szCs w:val="20"/>
                <w:color w:val="auto"/>
              </w:rPr>
            </w:pPr>
            <w:r>
              <w:rPr>
                <w:rFonts w:ascii="Arial" w:cs="Arial" w:eastAsia="Arial" w:hAnsi="Arial"/>
                <w:sz w:val="18"/>
                <w:szCs w:val="18"/>
                <w:color w:val="6D6D6D"/>
              </w:rPr>
              <w:t>84.9 %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85.9 %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86.3 %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88.1 %</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New York</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88.9 %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91.8 %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92.6 %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94.4 %</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6D6D6D"/>
              </w:rPr>
              <w:t>San Francisco</w:t>
            </w:r>
          </w:p>
        </w:tc>
        <w:tc>
          <w:tcPr>
            <w:tcW w:w="2060" w:type="dxa"/>
            <w:vAlign w:val="bottom"/>
          </w:tcPr>
          <w:p>
            <w:pPr>
              <w:jc w:val="right"/>
              <w:spacing w:after="0"/>
              <w:rPr>
                <w:sz w:val="20"/>
                <w:szCs w:val="20"/>
                <w:color w:val="auto"/>
              </w:rPr>
            </w:pPr>
            <w:r>
              <w:rPr>
                <w:rFonts w:ascii="Arial" w:cs="Arial" w:eastAsia="Arial" w:hAnsi="Arial"/>
                <w:sz w:val="18"/>
                <w:szCs w:val="18"/>
                <w:color w:val="6D6D6D"/>
              </w:rPr>
              <w:t>84.2 %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87.4 %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84.5 %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88.0 %</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Seattle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80.2 %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81.8 %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83.0 %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83.1 %</w:t>
            </w:r>
          </w:p>
        </w:tc>
      </w:tr>
      <w:tr>
        <w:trPr>
          <w:trHeight w:val="229"/>
        </w:trPr>
        <w:tc>
          <w:tcPr>
            <w:tcW w:w="242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6D6D6D"/>
              </w:rPr>
              <w:t xml:space="preserve">Washington, DC </w:t>
            </w:r>
            <w:r>
              <w:rPr>
                <w:rFonts w:ascii="Arial" w:cs="Arial" w:eastAsia="Arial" w:hAnsi="Arial"/>
                <w:sz w:val="23"/>
                <w:szCs w:val="23"/>
                <w:color w:val="6D6D6D"/>
                <w:vertAlign w:val="superscript"/>
              </w:rPr>
              <w:t>(3)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91.4 %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89.2 %</w:t>
            </w:r>
          </w:p>
        </w:tc>
        <w:tc>
          <w:tcPr>
            <w:tcW w:w="2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93.5 %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92.3 %</w:t>
            </w:r>
          </w:p>
        </w:tc>
      </w:tr>
      <w:tr>
        <w:trPr>
          <w:trHeight w:val="223"/>
        </w:trPr>
        <w:tc>
          <w:tcPr>
            <w:tcW w:w="2420" w:type="dxa"/>
            <w:vAlign w:val="bottom"/>
            <w:shd w:val="clear" w:color="auto" w:fill="CCEEFF"/>
          </w:tcPr>
          <w:p>
            <w:pPr>
              <w:ind w:left="660"/>
              <w:spacing w:after="0"/>
              <w:rPr>
                <w:sz w:val="20"/>
                <w:szCs w:val="20"/>
                <w:color w:val="auto"/>
              </w:rPr>
            </w:pPr>
            <w:r>
              <w:rPr>
                <w:rFonts w:ascii="Arial" w:cs="Arial" w:eastAsia="Arial" w:hAnsi="Arial"/>
                <w:sz w:val="18"/>
                <w:szCs w:val="18"/>
                <w:color w:val="6D6D6D"/>
              </w:rPr>
              <w:t>CBD Portfolio</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90.1 %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91.0 %</w:t>
            </w:r>
          </w:p>
        </w:tc>
        <w:tc>
          <w:tcPr>
            <w:tcW w:w="26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92.1 %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92.7 %</w:t>
            </w:r>
          </w:p>
        </w:tc>
      </w:tr>
    </w:tbl>
    <w:p>
      <w:pPr>
        <w:spacing w:after="0" w:line="200" w:lineRule="exact"/>
        <w:rPr>
          <w:sz w:val="20"/>
          <w:szCs w:val="20"/>
          <w:color w:val="auto"/>
        </w:rPr>
      </w:pPr>
    </w:p>
    <w:p>
      <w:pPr>
        <w:sectPr>
          <w:pgSz w:w="11900" w:h="16838" w:orient="portrait"/>
          <w:cols w:equalWidth="0" w:num="1">
            <w:col w:w="11220"/>
          </w:cols>
          <w:pgMar w:left="320" w:top="1093" w:right="35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6D6D6D"/>
        </w:rPr>
        <w:t>Total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ind w:left="1100"/>
              <w:spacing w:after="0"/>
              <w:rPr>
                <w:sz w:val="20"/>
                <w:szCs w:val="20"/>
                <w:color w:val="auto"/>
              </w:rPr>
            </w:pPr>
            <w:r>
              <w:rPr>
                <w:rFonts w:ascii="Arial" w:cs="Arial" w:eastAsia="Arial" w:hAnsi="Arial"/>
                <w:sz w:val="16"/>
                <w:szCs w:val="16"/>
                <w:b w:val="1"/>
                <w:bCs w:val="1"/>
                <w:color w:val="6D6D6D"/>
              </w:rPr>
              <w:t xml:space="preserve">% Occupied by Location </w:t>
            </w:r>
            <w:r>
              <w:rPr>
                <w:rFonts w:ascii="Arial" w:cs="Arial" w:eastAsia="Arial" w:hAnsi="Arial"/>
                <w:sz w:val="21"/>
                <w:szCs w:val="21"/>
                <w:b w:val="1"/>
                <w:bCs w:val="1"/>
                <w:color w:val="6D6D6D"/>
                <w:vertAlign w:val="superscript"/>
              </w:rPr>
              <w:t>(1)</w:t>
            </w:r>
          </w:p>
        </w:tc>
        <w:tc>
          <w:tcPr>
            <w:tcW w:w="4180" w:type="dxa"/>
            <w:vAlign w:val="bottom"/>
            <w:gridSpan w:val="2"/>
          </w:tcPr>
          <w:p>
            <w:pPr>
              <w:ind w:left="1140"/>
              <w:spacing w:after="0"/>
              <w:rPr>
                <w:sz w:val="20"/>
                <w:szCs w:val="20"/>
                <w:color w:val="auto"/>
              </w:rPr>
            </w:pPr>
            <w:r>
              <w:rPr>
                <w:rFonts w:ascii="Arial" w:cs="Arial" w:eastAsia="Arial" w:hAnsi="Arial"/>
                <w:sz w:val="16"/>
                <w:szCs w:val="16"/>
                <w:b w:val="1"/>
                <w:bCs w:val="1"/>
                <w:color w:val="6D6D6D"/>
              </w:rPr>
              <w:t xml:space="preserve">% Leased by Location </w:t>
            </w:r>
            <w:r>
              <w:rPr>
                <w:rFonts w:ascii="Arial" w:cs="Arial" w:eastAsia="Arial" w:hAnsi="Arial"/>
                <w:sz w:val="21"/>
                <w:szCs w:val="21"/>
                <w:b w:val="1"/>
                <w:bCs w:val="1"/>
                <w:color w:val="6D6D6D"/>
                <w:vertAlign w:val="superscript"/>
              </w:rPr>
              <w:t>(2)</w:t>
            </w:r>
          </w:p>
        </w:tc>
      </w:tr>
      <w:tr>
        <w:trPr>
          <w:trHeight w:val="210"/>
        </w:trPr>
        <w:tc>
          <w:tcPr>
            <w:tcW w:w="214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6D6D6D"/>
              </w:rPr>
              <w:t>September 30, 2024</w:t>
            </w:r>
          </w:p>
        </w:tc>
        <w:tc>
          <w:tcPr>
            <w:tcW w:w="2100" w:type="dxa"/>
            <w:vAlign w:val="bottom"/>
            <w:tcBorders>
              <w:top w:val="single" w:sz="8" w:color="auto"/>
            </w:tcBorders>
          </w:tcPr>
          <w:p>
            <w:pPr>
              <w:ind w:left="380"/>
              <w:spacing w:after="0"/>
              <w:rPr>
                <w:sz w:val="20"/>
                <w:szCs w:val="20"/>
                <w:color w:val="auto"/>
              </w:rPr>
            </w:pPr>
            <w:r>
              <w:rPr>
                <w:rFonts w:ascii="Arial" w:cs="Arial" w:eastAsia="Arial" w:hAnsi="Arial"/>
                <w:sz w:val="16"/>
                <w:szCs w:val="16"/>
                <w:b w:val="1"/>
                <w:bCs w:val="1"/>
                <w:color w:val="6D6D6D"/>
              </w:rPr>
              <w:t>December 31, 2023</w:t>
            </w:r>
          </w:p>
        </w:tc>
        <w:tc>
          <w:tcPr>
            <w:tcW w:w="260" w:type="dxa"/>
            <w:vAlign w:val="bottom"/>
          </w:tcPr>
          <w:p>
            <w:pPr>
              <w:spacing w:after="0"/>
              <w:rPr>
                <w:sz w:val="18"/>
                <w:szCs w:val="18"/>
                <w:color w:val="auto"/>
              </w:rPr>
            </w:pPr>
          </w:p>
        </w:tc>
        <w:tc>
          <w:tcPr>
            <w:tcW w:w="21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6D6D6D"/>
              </w:rPr>
              <w:t>September 30, 2024</w:t>
            </w:r>
          </w:p>
        </w:tc>
        <w:tc>
          <w:tcPr>
            <w:tcW w:w="208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6D6D6D"/>
              </w:rPr>
              <w:t>December 31, 2023</w:t>
            </w:r>
          </w:p>
        </w:tc>
      </w:tr>
    </w:tbl>
    <w:p>
      <w:pPr>
        <w:spacing w:after="0" w:line="1" w:lineRule="exact"/>
        <w:rPr>
          <w:sz w:val="20"/>
          <w:szCs w:val="20"/>
          <w:color w:val="auto"/>
        </w:rPr>
      </w:pPr>
    </w:p>
    <w:p>
      <w:pPr>
        <w:sectPr>
          <w:pgSz w:w="11900" w:h="16838" w:orient="portrait"/>
          <w:cols w:equalWidth="0" w:num="2">
            <w:col w:w="1780" w:space="720"/>
            <w:col w:w="8720"/>
          </w:cols>
          <w:pgMar w:left="320" w:top="1093" w:right="35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6D6D6D"/>
              </w:rPr>
              <w:t>Boston</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90.1 %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89.9 %</w:t>
            </w:r>
          </w:p>
        </w:tc>
        <w:tc>
          <w:tcPr>
            <w:tcW w:w="26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91.7 %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90.3 %</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6D6D6D"/>
              </w:rPr>
              <w:t>Los Angeles</w:t>
            </w:r>
          </w:p>
        </w:tc>
        <w:tc>
          <w:tcPr>
            <w:tcW w:w="2060" w:type="dxa"/>
            <w:vAlign w:val="bottom"/>
          </w:tcPr>
          <w:p>
            <w:pPr>
              <w:jc w:val="right"/>
              <w:spacing w:after="0"/>
              <w:rPr>
                <w:sz w:val="20"/>
                <w:szCs w:val="20"/>
                <w:color w:val="auto"/>
              </w:rPr>
            </w:pPr>
            <w:r>
              <w:rPr>
                <w:rFonts w:ascii="Arial" w:cs="Arial" w:eastAsia="Arial" w:hAnsi="Arial"/>
                <w:sz w:val="18"/>
                <w:szCs w:val="18"/>
                <w:color w:val="6D6D6D"/>
              </w:rPr>
              <w:t>84.9 %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85.9 %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86.3 %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88.1 %</w:t>
            </w: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New York</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85.1 %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90.1 %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89.2 %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92.4 %</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6D6D6D"/>
              </w:rPr>
              <w:t>San Francisco</w:t>
            </w:r>
          </w:p>
        </w:tc>
        <w:tc>
          <w:tcPr>
            <w:tcW w:w="2060" w:type="dxa"/>
            <w:vAlign w:val="bottom"/>
          </w:tcPr>
          <w:p>
            <w:pPr>
              <w:jc w:val="right"/>
              <w:spacing w:after="0"/>
              <w:rPr>
                <w:sz w:val="20"/>
                <w:szCs w:val="20"/>
                <w:color w:val="auto"/>
              </w:rPr>
            </w:pPr>
            <w:r>
              <w:rPr>
                <w:rFonts w:ascii="Arial" w:cs="Arial" w:eastAsia="Arial" w:hAnsi="Arial"/>
                <w:sz w:val="18"/>
                <w:szCs w:val="18"/>
                <w:color w:val="6D6D6D"/>
              </w:rPr>
              <w:t>80.9 %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84.9 %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81.2 %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85.5 %</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Seattle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80.2 %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81.8 %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83.0 %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83.1 %</w:t>
            </w:r>
          </w:p>
        </w:tc>
      </w:tr>
      <w:tr>
        <w:trPr>
          <w:trHeight w:val="229"/>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6D6D6D"/>
              </w:rPr>
              <w:t>Washington, DC</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91.2 %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88.0 %</w:t>
            </w:r>
          </w:p>
        </w:tc>
        <w:tc>
          <w:tcPr>
            <w:tcW w:w="2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93.2 %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91.0 %</w:t>
            </w:r>
          </w:p>
        </w:tc>
      </w:tr>
      <w:tr>
        <w:trPr>
          <w:trHeight w:val="223"/>
        </w:trPr>
        <w:tc>
          <w:tcPr>
            <w:tcW w:w="2420" w:type="dxa"/>
            <w:vAlign w:val="bottom"/>
            <w:shd w:val="clear" w:color="auto" w:fill="CCEEFF"/>
          </w:tcPr>
          <w:p>
            <w:pPr>
              <w:ind w:left="660"/>
              <w:spacing w:after="0"/>
              <w:rPr>
                <w:sz w:val="20"/>
                <w:szCs w:val="20"/>
                <w:color w:val="auto"/>
              </w:rPr>
            </w:pPr>
            <w:r>
              <w:rPr>
                <w:rFonts w:ascii="Arial" w:cs="Arial" w:eastAsia="Arial" w:hAnsi="Arial"/>
                <w:sz w:val="18"/>
                <w:szCs w:val="18"/>
                <w:color w:val="6D6D6D"/>
              </w:rPr>
              <w:t>Total Portfolio</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87.0 %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88.4 %</w:t>
            </w:r>
          </w:p>
        </w:tc>
        <w:tc>
          <w:tcPr>
            <w:tcW w:w="26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89.1 %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89.9 %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8"/>
          <w:szCs w:val="18"/>
          <w:color w:val="6D6D6D"/>
        </w:rPr>
      </w:pPr>
      <w:r>
        <w:rPr>
          <w:rFonts w:ascii="Arial" w:cs="Arial" w:eastAsia="Arial" w:hAnsi="Arial"/>
          <w:sz w:val="18"/>
          <w:szCs w:val="18"/>
          <w:color w:val="6D6D6D"/>
        </w:rPr>
        <w:t>Represents signed leases for which revenue recognition has commenced in accordance with GAAP.</w:t>
      </w:r>
    </w:p>
    <w:p>
      <w:pPr>
        <w:spacing w:after="0" w:line="103" w:lineRule="exact"/>
        <w:rPr>
          <w:rFonts w:ascii="Arial" w:cs="Arial" w:eastAsia="Arial" w:hAnsi="Arial"/>
          <w:sz w:val="18"/>
          <w:szCs w:val="18"/>
          <w:color w:val="6D6D6D"/>
        </w:rPr>
      </w:pPr>
    </w:p>
    <w:p>
      <w:pPr>
        <w:ind w:left="340" w:right="100" w:hanging="332"/>
        <w:spacing w:after="0" w:line="287" w:lineRule="auto"/>
        <w:tabs>
          <w:tab w:leader="none" w:pos="330" w:val="left"/>
        </w:tabs>
        <w:numPr>
          <w:ilvl w:val="0"/>
          <w:numId w:val="134"/>
        </w:numPr>
        <w:rPr>
          <w:rFonts w:ascii="Arial" w:cs="Arial" w:eastAsia="Arial" w:hAnsi="Arial"/>
          <w:sz w:val="18"/>
          <w:szCs w:val="18"/>
          <w:color w:val="6D6D6D"/>
        </w:rPr>
      </w:pPr>
      <w:r>
        <w:rPr>
          <w:rFonts w:ascii="Arial" w:cs="Arial" w:eastAsia="Arial" w:hAnsi="Arial"/>
          <w:sz w:val="18"/>
          <w:szCs w:val="18"/>
          <w:color w:val="6D6D6D"/>
        </w:rPr>
        <w:t>Represents signed leases for which revenue recognition has commenced in accordance with GAAP and signed leases for vacant space with future commencement dates.</w:t>
      </w:r>
    </w:p>
    <w:p>
      <w:pPr>
        <w:spacing w:after="0" w:line="31" w:lineRule="exact"/>
        <w:rPr>
          <w:rFonts w:ascii="Arial" w:cs="Arial" w:eastAsia="Arial" w:hAnsi="Arial"/>
          <w:sz w:val="18"/>
          <w:szCs w:val="18"/>
          <w:color w:val="6D6D6D"/>
        </w:rPr>
      </w:pPr>
    </w:p>
    <w:p>
      <w:pPr>
        <w:ind w:left="340" w:hanging="332"/>
        <w:spacing w:after="0" w:line="262" w:lineRule="auto"/>
        <w:tabs>
          <w:tab w:leader="none" w:pos="330" w:val="left"/>
        </w:tabs>
        <w:numPr>
          <w:ilvl w:val="0"/>
          <w:numId w:val="134"/>
        </w:numPr>
        <w:rPr>
          <w:rFonts w:ascii="Arial" w:cs="Arial" w:eastAsia="Arial" w:hAnsi="Arial"/>
          <w:sz w:val="18"/>
          <w:szCs w:val="18"/>
          <w:color w:val="6D6D6D"/>
        </w:rPr>
      </w:pPr>
      <w:r>
        <w:rPr>
          <w:rFonts w:ascii="Arial" w:cs="Arial" w:eastAsia="Arial" w:hAnsi="Arial"/>
          <w:sz w:val="18"/>
          <w:szCs w:val="18"/>
          <w:color w:val="6D6D6D"/>
        </w:rPr>
        <w:t>During the first quarter of 2024, the Company reassessed the classifications of its assets as either CBD or Suburban and determined that certain assets such as those in Reston, Virginia are located in areas with characteristics that more closely align with our definition of CBD due to their diverse live, work, and play environment. As a result, these assets are classified as CBD. Comparative period has been updated to reflect the same presentation.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6B6B6B"/>
        </w:rPr>
        <w:t>AT BXP</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6B6B6B"/>
        </w:rPr>
        <w:t>Michael LaBelle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Executive Vice President,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Chief Financial Officer and Treasurer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mlabelle@bxp.com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6B6B6B"/>
        </w:rPr>
        <w:t>Helen Han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Vice President, Investor Relations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6B6B6B"/>
        </w:rPr>
        <w:t>hhan@bxp.com</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w:t>
      </w:r>
    </w:p>
    <w:p>
      <w:pPr>
        <w:sectPr>
          <w:pgSz w:w="11900" w:h="16838" w:orient="portrait"/>
          <w:cols w:equalWidth="0" w:num="1">
            <w:col w:w="11220"/>
          </w:cols>
          <w:pgMar w:left="320" w:top="1093" w:right="359" w:bottom="1440" w:gutter="0" w:footer="0" w:header="0"/>
          <w:type w:val="continuous"/>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bullet"/>
      <w:start w:val="1"/>
    </w:lvl>
  </w:abstractNum>
  <w:abstractNum w:abstractNumId="3">
    <w:nsid w:val="6590700B"/>
    <w:multiLevelType w:val="hybridMultilevel"/>
    <w:lvl w:ilvl="0">
      <w:lvlJc w:val="left"/>
      <w:lvlText w:val="2"/>
      <w:numFmt w:val="bullet"/>
      <w:start w:val="1"/>
    </w:lvl>
  </w:abstractNum>
  <w:abstractNum w:abstractNumId="4">
    <w:nsid w:val="15014ACB"/>
    <w:multiLevelType w:val="hybridMultilevel"/>
    <w:lvl w:ilvl="0">
      <w:lvlJc w:val="left"/>
      <w:lvlText w:val="3"/>
      <w:numFmt w:val="bullet"/>
      <w:start w:val="1"/>
    </w:lvl>
  </w:abstractNum>
  <w:abstractNum w:abstractNumId="5">
    <w:nsid w:val="5F5E7FD0"/>
    <w:multiLevelType w:val="hybridMultilevel"/>
    <w:lvl w:ilvl="0">
      <w:lvlJc w:val="left"/>
      <w:lvlText w:val="1"/>
      <w:numFmt w:val="bullet"/>
      <w:start w:val="1"/>
    </w:lvl>
  </w:abstractNum>
  <w:abstractNum w:abstractNumId="6">
    <w:nsid w:val="98A3148"/>
    <w:multiLevelType w:val="hybridMultilevel"/>
    <w:lvl w:ilvl="0">
      <w:lvlJc w:val="left"/>
      <w:lvlText w:val="2"/>
      <w:numFmt w:val="bullet"/>
      <w:start w:val="1"/>
    </w:lvl>
  </w:abstractNum>
  <w:abstractNum w:abstractNumId="7">
    <w:nsid w:val="799D0247"/>
    <w:multiLevelType w:val="hybridMultilevel"/>
    <w:lvl w:ilvl="0">
      <w:lvlJc w:val="left"/>
      <w:lvlText w:val="1"/>
      <w:numFmt w:val="bullet"/>
      <w:start w:val="1"/>
    </w:lvl>
  </w:abstractNum>
  <w:abstractNum w:abstractNumId="8">
    <w:nsid w:val="6B94764"/>
    <w:multiLevelType w:val="hybridMultilevel"/>
    <w:lvl w:ilvl="0">
      <w:lvlJc w:val="left"/>
      <w:lvlText w:val="2"/>
      <w:numFmt w:val="bullet"/>
      <w:start w:val="1"/>
    </w:lvl>
  </w:abstractNum>
  <w:abstractNum w:abstractNumId="9">
    <w:nsid w:val="42C296BD"/>
    <w:multiLevelType w:val="hybridMultilevel"/>
    <w:lvl w:ilvl="0">
      <w:lvlJc w:val="left"/>
      <w:lvlText w:val="3"/>
      <w:numFmt w:val="bullet"/>
      <w:start w:val="1"/>
    </w:lvl>
  </w:abstractNum>
  <w:abstractNum w:abstractNumId="10">
    <w:nsid w:val="168E121F"/>
    <w:multiLevelType w:val="hybridMultilevel"/>
    <w:lvl w:ilvl="0">
      <w:lvlJc w:val="left"/>
      <w:lvlText w:val="4"/>
      <w:numFmt w:val="bullet"/>
      <w:start w:val="1"/>
    </w:lvl>
  </w:abstractNum>
  <w:abstractNum w:abstractNumId="11">
    <w:nsid w:val="1EBA5D23"/>
    <w:multiLevelType w:val="hybridMultilevel"/>
    <w:lvl w:ilvl="0">
      <w:lvlJc w:val="left"/>
      <w:lvlText w:val="%1"/>
      <w:numFmt w:val="decimal"/>
      <w:start w:val="10"/>
    </w:lvl>
  </w:abstractNum>
  <w:abstractNum w:abstractNumId="12">
    <w:nsid w:val="661E3F1E"/>
    <w:multiLevelType w:val="hybridMultilevel"/>
    <w:lvl w:ilvl="0">
      <w:lvlJc w:val="left"/>
      <w:lvlText w:val="%1"/>
      <w:numFmt w:val="decimal"/>
      <w:start w:val="11"/>
    </w:lvl>
  </w:abstractNum>
  <w:abstractNum w:abstractNumId="13">
    <w:nsid w:val="5DC79EA8"/>
    <w:multiLevelType w:val="hybridMultilevel"/>
    <w:lvl w:ilvl="0">
      <w:lvlJc w:val="left"/>
      <w:lvlText w:val="1"/>
      <w:numFmt w:val="bullet"/>
      <w:start w:val="1"/>
    </w:lvl>
  </w:abstractNum>
  <w:abstractNum w:abstractNumId="14">
    <w:nsid w:val="540A471C"/>
    <w:multiLevelType w:val="hybridMultilevel"/>
    <w:lvl w:ilvl="0">
      <w:lvlJc w:val="left"/>
      <w:lvlText w:val="2"/>
      <w:numFmt w:val="bullet"/>
      <w:start w:val="1"/>
    </w:lvl>
  </w:abstractNum>
  <w:abstractNum w:abstractNumId="15">
    <w:nsid w:val="7BD3EE7B"/>
    <w:multiLevelType w:val="hybridMultilevel"/>
    <w:lvl w:ilvl="0">
      <w:lvlJc w:val="left"/>
      <w:lvlText w:val="3"/>
      <w:numFmt w:val="bullet"/>
      <w:start w:val="1"/>
    </w:lvl>
  </w:abstractNum>
  <w:abstractNum w:abstractNumId="16">
    <w:nsid w:val="51D9C564"/>
    <w:multiLevelType w:val="hybridMultilevel"/>
    <w:lvl w:ilvl="0">
      <w:lvlJc w:val="left"/>
      <w:lvlText w:val="1"/>
      <w:numFmt w:val="bullet"/>
      <w:start w:val="1"/>
    </w:lvl>
  </w:abstractNum>
  <w:abstractNum w:abstractNumId="17">
    <w:nsid w:val="613EFDC5"/>
    <w:multiLevelType w:val="hybridMultilevel"/>
    <w:lvl w:ilvl="0">
      <w:lvlJc w:val="left"/>
      <w:lvlText w:val="1"/>
      <w:numFmt w:val="bullet"/>
      <w:start w:val="1"/>
    </w:lvl>
  </w:abstractNum>
  <w:abstractNum w:abstractNumId="18">
    <w:nsid w:val="BF72B14"/>
    <w:multiLevelType w:val="hybridMultilevel"/>
    <w:lvl w:ilvl="0">
      <w:lvlJc w:val="left"/>
      <w:lvlText w:val="1"/>
      <w:numFmt w:val="bullet"/>
      <w:start w:val="1"/>
    </w:lvl>
  </w:abstractNum>
  <w:abstractNum w:abstractNumId="19">
    <w:nsid w:val="11447B73"/>
    <w:multiLevelType w:val="hybridMultilevel"/>
    <w:lvl w:ilvl="0">
      <w:lvlJc w:val="left"/>
      <w:lvlText w:val="2"/>
      <w:numFmt w:val="bullet"/>
      <w:start w:val="1"/>
    </w:lvl>
  </w:abstractNum>
  <w:abstractNum w:abstractNumId="20">
    <w:nsid w:val="42963E5A"/>
    <w:multiLevelType w:val="hybridMultilevel"/>
    <w:lvl w:ilvl="0">
      <w:lvlJc w:val="left"/>
      <w:lvlText w:val="3"/>
      <w:numFmt w:val="bullet"/>
      <w:start w:val="1"/>
    </w:lvl>
  </w:abstractNum>
  <w:abstractNum w:abstractNumId="21">
    <w:nsid w:val="A0382C5"/>
    <w:multiLevelType w:val="hybridMultilevel"/>
    <w:lvl w:ilvl="0">
      <w:lvlJc w:val="left"/>
      <w:lvlText w:val="1"/>
      <w:numFmt w:val="bullet"/>
      <w:start w:val="1"/>
    </w:lvl>
  </w:abstractNum>
  <w:abstractNum w:abstractNumId="22">
    <w:nsid w:val="8F2B15E"/>
    <w:multiLevelType w:val="hybridMultilevel"/>
    <w:lvl w:ilvl="0">
      <w:lvlJc w:val="left"/>
      <w:lvlText w:val="2"/>
      <w:numFmt w:val="bullet"/>
      <w:start w:val="1"/>
    </w:lvl>
  </w:abstractNum>
  <w:abstractNum w:abstractNumId="23">
    <w:nsid w:val="1A32234B"/>
    <w:multiLevelType w:val="hybridMultilevel"/>
    <w:lvl w:ilvl="0">
      <w:lvlJc w:val="left"/>
      <w:lvlText w:val="3"/>
      <w:numFmt w:val="bullet"/>
      <w:start w:val="1"/>
    </w:lvl>
  </w:abstractNum>
  <w:abstractNum w:abstractNumId="24">
    <w:nsid w:val="3B0FD379"/>
    <w:multiLevelType w:val="hybridMultilevel"/>
    <w:lvl w:ilvl="0">
      <w:lvlJc w:val="left"/>
      <w:lvlText w:val="4"/>
      <w:numFmt w:val="bullet"/>
      <w:start w:val="1"/>
    </w:lvl>
  </w:abstractNum>
  <w:abstractNum w:abstractNumId="25">
    <w:nsid w:val="68EB2F63"/>
    <w:multiLevelType w:val="hybridMultilevel"/>
    <w:lvl w:ilvl="0">
      <w:lvlJc w:val="left"/>
      <w:lvlText w:val="1"/>
      <w:numFmt w:val="bullet"/>
      <w:start w:val="1"/>
    </w:lvl>
  </w:abstractNum>
  <w:abstractNum w:abstractNumId="26">
    <w:nsid w:val="4962813B"/>
    <w:multiLevelType w:val="hybridMultilevel"/>
    <w:lvl w:ilvl="0">
      <w:lvlJc w:val="left"/>
      <w:lvlText w:val="2"/>
      <w:numFmt w:val="bullet"/>
      <w:start w:val="1"/>
    </w:lvl>
  </w:abstractNum>
  <w:abstractNum w:abstractNumId="27">
    <w:nsid w:val="60B6DF70"/>
    <w:multiLevelType w:val="hybridMultilevel"/>
    <w:lvl w:ilvl="0">
      <w:lvlJc w:val="left"/>
      <w:lvlText w:val="3"/>
      <w:numFmt w:val="bullet"/>
      <w:start w:val="1"/>
    </w:lvl>
  </w:abstractNum>
  <w:abstractNum w:abstractNumId="28">
    <w:nsid w:val="6A5EE64"/>
    <w:multiLevelType w:val="hybridMultilevel"/>
    <w:lvl w:ilvl="0">
      <w:lvlJc w:val="left"/>
      <w:lvlText w:val="4"/>
      <w:numFmt w:val="bullet"/>
      <w:start w:val="1"/>
    </w:lvl>
  </w:abstractNum>
  <w:abstractNum w:abstractNumId="29">
    <w:nsid w:val="14330624"/>
    <w:multiLevelType w:val="hybridMultilevel"/>
    <w:lvl w:ilvl="0">
      <w:lvlJc w:val="left"/>
      <w:lvlText w:val="5"/>
      <w:numFmt w:val="bullet"/>
      <w:start w:val="1"/>
    </w:lvl>
  </w:abstractNum>
  <w:abstractNum w:abstractNumId="30">
    <w:nsid w:val="7FFFCA11"/>
    <w:multiLevelType w:val="hybridMultilevel"/>
    <w:lvl w:ilvl="0">
      <w:lvlJc w:val="left"/>
      <w:lvlText w:val="6"/>
      <w:numFmt w:val="bullet"/>
      <w:start w:val="1"/>
    </w:lvl>
  </w:abstractNum>
  <w:abstractNum w:abstractNumId="31">
    <w:nsid w:val="1A27709E"/>
    <w:multiLevelType w:val="hybridMultilevel"/>
    <w:lvl w:ilvl="0">
      <w:lvlJc w:val="left"/>
      <w:lvlText w:val="1"/>
      <w:numFmt w:val="bullet"/>
      <w:start w:val="1"/>
    </w:lvl>
  </w:abstractNum>
  <w:abstractNum w:abstractNumId="32">
    <w:nsid w:val="71EA1109"/>
    <w:multiLevelType w:val="hybridMultilevel"/>
    <w:lvl w:ilvl="0">
      <w:lvlJc w:val="left"/>
      <w:lvlText w:val="1"/>
      <w:numFmt w:val="bullet"/>
      <w:start w:val="1"/>
    </w:lvl>
  </w:abstractNum>
  <w:abstractNum w:abstractNumId="33">
    <w:nsid w:val="100F59DC"/>
    <w:multiLevelType w:val="hybridMultilevel"/>
    <w:lvl w:ilvl="0">
      <w:lvlJc w:val="left"/>
      <w:lvlText w:val="2"/>
      <w:numFmt w:val="bullet"/>
      <w:start w:val="1"/>
    </w:lvl>
  </w:abstractNum>
  <w:abstractNum w:abstractNumId="34">
    <w:nsid w:val="7FB7E0AA"/>
    <w:multiLevelType w:val="hybridMultilevel"/>
    <w:lvl w:ilvl="0">
      <w:lvlJc w:val="left"/>
      <w:lvlText w:val="3"/>
      <w:numFmt w:val="bullet"/>
      <w:start w:val="1"/>
    </w:lvl>
  </w:abstractNum>
  <w:abstractNum w:abstractNumId="35">
    <w:nsid w:val="6EB5BD4"/>
    <w:multiLevelType w:val="hybridMultilevel"/>
    <w:lvl w:ilvl="0">
      <w:lvlJc w:val="left"/>
      <w:lvlText w:val="1"/>
      <w:numFmt w:val="bullet"/>
      <w:start w:val="1"/>
    </w:lvl>
  </w:abstractNum>
  <w:abstractNum w:abstractNumId="36">
    <w:nsid w:val="6F6DD9AC"/>
    <w:multiLevelType w:val="hybridMultilevel"/>
    <w:lvl w:ilvl="0">
      <w:lvlJc w:val="left"/>
      <w:lvlText w:val="2"/>
      <w:numFmt w:val="bullet"/>
      <w:start w:val="1"/>
    </w:lvl>
  </w:abstractNum>
  <w:abstractNum w:abstractNumId="37">
    <w:nsid w:val="94211F2"/>
    <w:multiLevelType w:val="hybridMultilevel"/>
    <w:lvl w:ilvl="0">
      <w:lvlJc w:val="left"/>
      <w:lvlText w:val="3"/>
      <w:numFmt w:val="bullet"/>
      <w:start w:val="1"/>
    </w:lvl>
  </w:abstractNum>
  <w:abstractNum w:abstractNumId="38">
    <w:nsid w:val="885E1B"/>
    <w:multiLevelType w:val="hybridMultilevel"/>
    <w:lvl w:ilvl="0">
      <w:lvlJc w:val="left"/>
      <w:lvlText w:val="4"/>
      <w:numFmt w:val="bullet"/>
      <w:start w:val="1"/>
    </w:lvl>
  </w:abstractNum>
  <w:abstractNum w:abstractNumId="39">
    <w:nsid w:val="76272110"/>
    <w:multiLevelType w:val="hybridMultilevel"/>
    <w:lvl w:ilvl="0">
      <w:lvlJc w:val="left"/>
      <w:lvlText w:val="5"/>
      <w:numFmt w:val="bullet"/>
      <w:start w:val="1"/>
    </w:lvl>
  </w:abstractNum>
  <w:abstractNum w:abstractNumId="40">
    <w:nsid w:val="4C04A8AF"/>
    <w:multiLevelType w:val="hybridMultilevel"/>
    <w:lvl w:ilvl="0">
      <w:lvlJc w:val="left"/>
      <w:lvlText w:val="6"/>
      <w:numFmt w:val="bullet"/>
      <w:start w:val="1"/>
    </w:lvl>
  </w:abstractNum>
  <w:abstractNum w:abstractNumId="41">
    <w:nsid w:val="1716703B"/>
    <w:multiLevelType w:val="hybridMultilevel"/>
    <w:lvl w:ilvl="0">
      <w:lvlJc w:val="left"/>
      <w:lvlText w:val="7"/>
      <w:numFmt w:val="bullet"/>
      <w:start w:val="1"/>
    </w:lvl>
  </w:abstractNum>
  <w:abstractNum w:abstractNumId="42">
    <w:nsid w:val="14E17E33"/>
    <w:multiLevelType w:val="hybridMultilevel"/>
    <w:lvl w:ilvl="0">
      <w:lvlJc w:val="left"/>
      <w:lvlText w:val="8"/>
      <w:numFmt w:val="bullet"/>
      <w:start w:val="1"/>
    </w:lvl>
  </w:abstractNum>
  <w:abstractNum w:abstractNumId="43">
    <w:nsid w:val="3222E7CD"/>
    <w:multiLevelType w:val="hybridMultilevel"/>
    <w:lvl w:ilvl="0">
      <w:lvlJc w:val="left"/>
      <w:lvlText w:val="1"/>
      <w:numFmt w:val="bullet"/>
      <w:start w:val="1"/>
    </w:lvl>
  </w:abstractNum>
  <w:abstractNum w:abstractNumId="44">
    <w:nsid w:val="74DE0EE3"/>
    <w:multiLevelType w:val="hybridMultilevel"/>
    <w:lvl w:ilvl="0">
      <w:lvlJc w:val="left"/>
      <w:lvlText w:val="2"/>
      <w:numFmt w:val="bullet"/>
      <w:start w:val="1"/>
    </w:lvl>
  </w:abstractNum>
  <w:abstractNum w:abstractNumId="45">
    <w:nsid w:val="68EBC550"/>
    <w:multiLevelType w:val="hybridMultilevel"/>
    <w:lvl w:ilvl="0">
      <w:lvlJc w:val="left"/>
      <w:lvlText w:val="1"/>
      <w:numFmt w:val="bullet"/>
      <w:start w:val="1"/>
    </w:lvl>
  </w:abstractNum>
  <w:abstractNum w:abstractNumId="46">
    <w:nsid w:val="2DF6D648"/>
    <w:multiLevelType w:val="hybridMultilevel"/>
    <w:lvl w:ilvl="0">
      <w:lvlJc w:val="left"/>
      <w:lvlText w:val="3"/>
      <w:numFmt w:val="bullet"/>
      <w:start w:val="1"/>
    </w:lvl>
  </w:abstractNum>
  <w:abstractNum w:abstractNumId="47">
    <w:nsid w:val="46B7D447"/>
    <w:multiLevelType w:val="hybridMultilevel"/>
    <w:lvl w:ilvl="0">
      <w:lvlJc w:val="left"/>
      <w:lvlText w:val="4"/>
      <w:numFmt w:val="bullet"/>
      <w:start w:val="1"/>
    </w:lvl>
  </w:abstractNum>
  <w:abstractNum w:abstractNumId="48">
    <w:nsid w:val="4A2AC315"/>
    <w:multiLevelType w:val="hybridMultilevel"/>
    <w:lvl w:ilvl="0">
      <w:lvlJc w:val="left"/>
      <w:lvlText w:val="5"/>
      <w:numFmt w:val="bullet"/>
      <w:start w:val="1"/>
    </w:lvl>
  </w:abstractNum>
  <w:abstractNum w:abstractNumId="49">
    <w:nsid w:val="39EE015C"/>
    <w:multiLevelType w:val="hybridMultilevel"/>
    <w:lvl w:ilvl="0">
      <w:lvlJc w:val="left"/>
      <w:lvlText w:val="6"/>
      <w:numFmt w:val="bullet"/>
      <w:start w:val="1"/>
    </w:lvl>
  </w:abstractNum>
  <w:abstractNum w:abstractNumId="50">
    <w:nsid w:val="57FC4FBB"/>
    <w:multiLevelType w:val="hybridMultilevel"/>
    <w:lvl w:ilvl="0">
      <w:lvlJc w:val="left"/>
      <w:lvlText w:val="7"/>
      <w:numFmt w:val="bullet"/>
      <w:start w:val="1"/>
    </w:lvl>
  </w:abstractNum>
  <w:abstractNum w:abstractNumId="51">
    <w:nsid w:val="CC1016F"/>
    <w:multiLevelType w:val="hybridMultilevel"/>
    <w:lvl w:ilvl="0">
      <w:lvlJc w:val="left"/>
      <w:lvlText w:val="8"/>
      <w:numFmt w:val="bullet"/>
      <w:start w:val="1"/>
    </w:lvl>
  </w:abstractNum>
  <w:abstractNum w:abstractNumId="52">
    <w:nsid w:val="43F18422"/>
    <w:multiLevelType w:val="hybridMultilevel"/>
    <w:lvl w:ilvl="0">
      <w:lvlJc w:val="left"/>
      <w:lvlText w:val="1"/>
      <w:numFmt w:val="bullet"/>
      <w:start w:val="1"/>
    </w:lvl>
  </w:abstractNum>
  <w:abstractNum w:abstractNumId="53">
    <w:nsid w:val="60EF0119"/>
    <w:multiLevelType w:val="hybridMultilevel"/>
    <w:lvl w:ilvl="0">
      <w:lvlJc w:val="left"/>
      <w:lvlText w:val="2"/>
      <w:numFmt w:val="bullet"/>
      <w:start w:val="1"/>
    </w:lvl>
  </w:abstractNum>
  <w:abstractNum w:abstractNumId="54">
    <w:nsid w:val="26F324BA"/>
    <w:multiLevelType w:val="hybridMultilevel"/>
    <w:lvl w:ilvl="0">
      <w:lvlJc w:val="left"/>
      <w:lvlText w:val="1"/>
      <w:numFmt w:val="bullet"/>
      <w:start w:val="1"/>
    </w:lvl>
  </w:abstractNum>
  <w:abstractNum w:abstractNumId="55">
    <w:nsid w:val="7F01579B"/>
    <w:multiLevelType w:val="hybridMultilevel"/>
    <w:lvl w:ilvl="0">
      <w:lvlJc w:val="left"/>
      <w:lvlText w:val="2"/>
      <w:numFmt w:val="bullet"/>
      <w:start w:val="1"/>
    </w:lvl>
  </w:abstractNum>
  <w:abstractNum w:abstractNumId="56">
    <w:nsid w:val="49DA307D"/>
    <w:multiLevelType w:val="hybridMultilevel"/>
    <w:lvl w:ilvl="0">
      <w:lvlJc w:val="left"/>
      <w:lvlText w:val="3"/>
      <w:numFmt w:val="bullet"/>
      <w:start w:val="1"/>
    </w:lvl>
  </w:abstractNum>
  <w:abstractNum w:abstractNumId="57">
    <w:nsid w:val="7055A5F5"/>
    <w:multiLevelType w:val="hybridMultilevel"/>
    <w:lvl w:ilvl="0">
      <w:lvlJc w:val="left"/>
      <w:lvlText w:val="1"/>
      <w:numFmt w:val="bullet"/>
      <w:start w:val="1"/>
    </w:lvl>
  </w:abstractNum>
  <w:abstractNum w:abstractNumId="58">
    <w:nsid w:val="5FB8370B"/>
    <w:multiLevelType w:val="hybridMultilevel"/>
    <w:lvl w:ilvl="0">
      <w:lvlJc w:val="left"/>
      <w:lvlText w:val="2"/>
      <w:numFmt w:val="bullet"/>
      <w:start w:val="1"/>
    </w:lvl>
  </w:abstractNum>
  <w:abstractNum w:abstractNumId="59">
    <w:nsid w:val="50801EE1"/>
    <w:multiLevelType w:val="hybridMultilevel"/>
    <w:lvl w:ilvl="0">
      <w:lvlJc w:val="left"/>
      <w:lvlText w:val="3"/>
      <w:numFmt w:val="bullet"/>
      <w:start w:val="1"/>
    </w:lvl>
  </w:abstractNum>
  <w:abstractNum w:abstractNumId="60">
    <w:nsid w:val="488AC1A"/>
    <w:multiLevelType w:val="hybridMultilevel"/>
    <w:lvl w:ilvl="0">
      <w:lvlJc w:val="left"/>
      <w:lvlText w:val="6"/>
      <w:numFmt w:val="bullet"/>
      <w:start w:val="1"/>
    </w:lvl>
  </w:abstractNum>
  <w:abstractNum w:abstractNumId="61">
    <w:nsid w:val="5FB8011C"/>
    <w:multiLevelType w:val="hybridMultilevel"/>
    <w:lvl w:ilvl="0">
      <w:lvlJc w:val="left"/>
      <w:lvlText w:val="7"/>
      <w:numFmt w:val="bullet"/>
      <w:start w:val="1"/>
    </w:lvl>
  </w:abstractNum>
  <w:abstractNum w:abstractNumId="62">
    <w:nsid w:val="6AA78F7F"/>
    <w:multiLevelType w:val="hybridMultilevel"/>
    <w:lvl w:ilvl="0">
      <w:lvlJc w:val="left"/>
      <w:lvlText w:val="1"/>
      <w:numFmt w:val="bullet"/>
      <w:start w:val="1"/>
    </w:lvl>
  </w:abstractNum>
  <w:abstractNum w:abstractNumId="63">
    <w:nsid w:val="7672BD23"/>
    <w:multiLevelType w:val="hybridMultilevel"/>
    <w:lvl w:ilvl="0">
      <w:lvlJc w:val="left"/>
      <w:lvlText w:val="1"/>
      <w:numFmt w:val="bullet"/>
      <w:start w:val="1"/>
    </w:lvl>
  </w:abstractNum>
  <w:abstractNum w:abstractNumId="64">
    <w:nsid w:val="6FC75AF8"/>
    <w:multiLevelType w:val="hybridMultilevel"/>
    <w:lvl w:ilvl="0">
      <w:lvlJc w:val="left"/>
      <w:lvlText w:val="2"/>
      <w:numFmt w:val="bullet"/>
      <w:start w:val="1"/>
    </w:lvl>
  </w:abstractNum>
  <w:abstractNum w:abstractNumId="65">
    <w:nsid w:val="6A5F7029"/>
    <w:multiLevelType w:val="hybridMultilevel"/>
    <w:lvl w:ilvl="0">
      <w:lvlJc w:val="left"/>
      <w:lvlText w:val="3"/>
      <w:numFmt w:val="bullet"/>
      <w:start w:val="1"/>
    </w:lvl>
  </w:abstractNum>
  <w:abstractNum w:abstractNumId="66">
    <w:nsid w:val="7D5E18F8"/>
    <w:multiLevelType w:val="hybridMultilevel"/>
    <w:lvl w:ilvl="0">
      <w:lvlJc w:val="left"/>
      <w:lvlText w:val="1"/>
      <w:numFmt w:val="bullet"/>
      <w:start w:val="1"/>
    </w:lvl>
  </w:abstractNum>
  <w:abstractNum w:abstractNumId="67">
    <w:nsid w:val="5F3534A4"/>
    <w:multiLevelType w:val="hybridMultilevel"/>
    <w:lvl w:ilvl="0">
      <w:lvlJc w:val="left"/>
      <w:lvlText w:val="2"/>
      <w:numFmt w:val="bullet"/>
      <w:start w:val="1"/>
    </w:lvl>
  </w:abstractNum>
  <w:abstractNum w:abstractNumId="68">
    <w:nsid w:val="73A1821B"/>
    <w:multiLevelType w:val="hybridMultilevel"/>
    <w:lvl w:ilvl="0">
      <w:lvlJc w:val="left"/>
      <w:lvlText w:val="3"/>
      <w:numFmt w:val="bullet"/>
      <w:start w:val="1"/>
    </w:lvl>
  </w:abstractNum>
  <w:abstractNum w:abstractNumId="69">
    <w:nsid w:val="7DE67713"/>
    <w:multiLevelType w:val="hybridMultilevel"/>
    <w:lvl w:ilvl="0">
      <w:lvlJc w:val="left"/>
      <w:lvlText w:val="4"/>
      <w:numFmt w:val="bullet"/>
      <w:start w:val="1"/>
    </w:lvl>
  </w:abstractNum>
  <w:abstractNum w:abstractNumId="70">
    <w:nsid w:val="555C55B5"/>
    <w:multiLevelType w:val="hybridMultilevel"/>
    <w:lvl w:ilvl="0">
      <w:lvlJc w:val="left"/>
      <w:lvlText w:val="1"/>
      <w:numFmt w:val="bullet"/>
      <w:start w:val="1"/>
    </w:lvl>
  </w:abstractNum>
  <w:abstractNum w:abstractNumId="71">
    <w:nsid w:val="3FA62ACA"/>
    <w:multiLevelType w:val="hybridMultilevel"/>
    <w:lvl w:ilvl="0">
      <w:lvlJc w:val="left"/>
      <w:lvlText w:val="2"/>
      <w:numFmt w:val="bullet"/>
      <w:start w:val="1"/>
    </w:lvl>
  </w:abstractNum>
  <w:abstractNum w:abstractNumId="72">
    <w:nsid w:val="14FCE74E"/>
    <w:multiLevelType w:val="hybridMultilevel"/>
    <w:lvl w:ilvl="0">
      <w:lvlJc w:val="left"/>
      <w:lvlText w:val="3"/>
      <w:numFmt w:val="bullet"/>
      <w:start w:val="1"/>
    </w:lvl>
  </w:abstractNum>
  <w:abstractNum w:abstractNumId="73">
    <w:nsid w:val="6A3DD3E8"/>
    <w:multiLevelType w:val="hybridMultilevel"/>
    <w:lvl w:ilvl="0">
      <w:lvlJc w:val="left"/>
      <w:lvlText w:val="4"/>
      <w:numFmt w:val="bullet"/>
      <w:start w:val="1"/>
    </w:lvl>
  </w:abstractNum>
  <w:abstractNum w:abstractNumId="74">
    <w:nsid w:val="71C91298"/>
    <w:multiLevelType w:val="hybridMultilevel"/>
    <w:lvl w:ilvl="0">
      <w:lvlJc w:val="left"/>
      <w:lvlText w:val="5"/>
      <w:numFmt w:val="bullet"/>
      <w:start w:val="1"/>
    </w:lvl>
  </w:abstractNum>
  <w:abstractNum w:abstractNumId="75">
    <w:nsid w:val="9DAF632"/>
    <w:multiLevelType w:val="hybridMultilevel"/>
    <w:lvl w:ilvl="0">
      <w:lvlJc w:val="left"/>
      <w:lvlText w:val="6"/>
      <w:numFmt w:val="bullet"/>
      <w:start w:val="1"/>
    </w:lvl>
  </w:abstractNum>
  <w:abstractNum w:abstractNumId="76">
    <w:nsid w:val="53299938"/>
    <w:multiLevelType w:val="hybridMultilevel"/>
    <w:lvl w:ilvl="0">
      <w:lvlJc w:val="left"/>
      <w:lvlText w:val="1"/>
      <w:numFmt w:val="bullet"/>
      <w:start w:val="1"/>
    </w:lvl>
  </w:abstractNum>
  <w:abstractNum w:abstractNumId="77">
    <w:nsid w:val="1FBFE8E0"/>
    <w:multiLevelType w:val="hybridMultilevel"/>
    <w:lvl w:ilvl="0">
      <w:lvlJc w:val="left"/>
      <w:lvlText w:val="1"/>
      <w:numFmt w:val="bullet"/>
      <w:start w:val="1"/>
    </w:lvl>
  </w:abstractNum>
  <w:abstractNum w:abstractNumId="78">
    <w:nsid w:val="5092CA79"/>
    <w:multiLevelType w:val="hybridMultilevel"/>
    <w:lvl w:ilvl="0">
      <w:lvlJc w:val="left"/>
      <w:lvlText w:val="2"/>
      <w:numFmt w:val="bullet"/>
      <w:start w:val="1"/>
    </w:lvl>
  </w:abstractNum>
  <w:abstractNum w:abstractNumId="79">
    <w:nsid w:val="1D545C4D"/>
    <w:multiLevelType w:val="hybridMultilevel"/>
    <w:lvl w:ilvl="0">
      <w:lvlJc w:val="left"/>
      <w:lvlText w:val="1"/>
      <w:numFmt w:val="bullet"/>
      <w:start w:val="1"/>
    </w:lvl>
  </w:abstractNum>
  <w:abstractNum w:abstractNumId="80">
    <w:nsid w:val="59ADEA3D"/>
    <w:multiLevelType w:val="hybridMultilevel"/>
    <w:lvl w:ilvl="0">
      <w:lvlJc w:val="left"/>
      <w:lvlText w:val="2"/>
      <w:numFmt w:val="bullet"/>
      <w:start w:val="1"/>
    </w:lvl>
  </w:abstractNum>
  <w:abstractNum w:abstractNumId="81">
    <w:nsid w:val="288F1A34"/>
    <w:multiLevelType w:val="hybridMultilevel"/>
    <w:lvl w:ilvl="0">
      <w:lvlJc w:val="left"/>
      <w:lvlText w:val="3"/>
      <w:numFmt w:val="bullet"/>
      <w:start w:val="1"/>
    </w:lvl>
  </w:abstractNum>
  <w:abstractNum w:abstractNumId="82">
    <w:nsid w:val="2A155DBC"/>
    <w:multiLevelType w:val="hybridMultilevel"/>
    <w:lvl w:ilvl="0">
      <w:lvlJc w:val="left"/>
      <w:lvlText w:val="1"/>
      <w:numFmt w:val="bullet"/>
      <w:start w:val="1"/>
    </w:lvl>
  </w:abstractNum>
  <w:abstractNum w:abstractNumId="83">
    <w:nsid w:val="1D9F6E5F"/>
    <w:multiLevelType w:val="hybridMultilevel"/>
    <w:lvl w:ilvl="0">
      <w:lvlJc w:val="left"/>
      <w:lvlText w:val="2"/>
      <w:numFmt w:val="bullet"/>
      <w:start w:val="1"/>
    </w:lvl>
  </w:abstractNum>
  <w:abstractNum w:abstractNumId="84">
    <w:nsid w:val="97E1B4E"/>
    <w:multiLevelType w:val="hybridMultilevel"/>
    <w:lvl w:ilvl="0">
      <w:lvlJc w:val="left"/>
      <w:lvlText w:val="3"/>
      <w:numFmt w:val="bullet"/>
      <w:start w:val="1"/>
    </w:lvl>
  </w:abstractNum>
  <w:abstractNum w:abstractNumId="85">
    <w:nsid w:val="51088277"/>
    <w:multiLevelType w:val="hybridMultilevel"/>
    <w:lvl w:ilvl="0">
      <w:lvlJc w:val="left"/>
      <w:lvlText w:val="4"/>
      <w:numFmt w:val="bullet"/>
      <w:start w:val="1"/>
    </w:lvl>
  </w:abstractNum>
  <w:abstractNum w:abstractNumId="86">
    <w:nsid w:val="1CA0C5FA"/>
    <w:multiLevelType w:val="hybridMultilevel"/>
    <w:lvl w:ilvl="0">
      <w:lvlJc w:val="left"/>
      <w:lvlText w:val="1"/>
      <w:numFmt w:val="bullet"/>
      <w:start w:val="1"/>
    </w:lvl>
  </w:abstractNum>
  <w:abstractNum w:abstractNumId="87">
    <w:nsid w:val="53584BCB"/>
    <w:multiLevelType w:val="hybridMultilevel"/>
    <w:lvl w:ilvl="0">
      <w:lvlJc w:val="left"/>
      <w:lvlText w:val="2"/>
      <w:numFmt w:val="bullet"/>
      <w:start w:val="1"/>
    </w:lvl>
  </w:abstractNum>
  <w:abstractNum w:abstractNumId="88">
    <w:nsid w:val="415E286C"/>
    <w:multiLevelType w:val="hybridMultilevel"/>
    <w:lvl w:ilvl="0">
      <w:lvlJc w:val="left"/>
      <w:lvlText w:val="3"/>
      <w:numFmt w:val="bullet"/>
      <w:start w:val="1"/>
    </w:lvl>
  </w:abstractNum>
  <w:abstractNum w:abstractNumId="89">
    <w:nsid w:val="7C58FD05"/>
    <w:multiLevelType w:val="hybridMultilevel"/>
    <w:lvl w:ilvl="0">
      <w:lvlJc w:val="left"/>
      <w:lvlText w:val="4"/>
      <w:numFmt w:val="bullet"/>
      <w:start w:val="1"/>
    </w:lvl>
  </w:abstractNum>
  <w:abstractNum w:abstractNumId="90">
    <w:nsid w:val="23D86AAC"/>
    <w:multiLevelType w:val="hybridMultilevel"/>
    <w:lvl w:ilvl="0">
      <w:lvlJc w:val="left"/>
      <w:lvlText w:val="1"/>
      <w:numFmt w:val="bullet"/>
      <w:start w:val="1"/>
    </w:lvl>
  </w:abstractNum>
  <w:abstractNum w:abstractNumId="91">
    <w:nsid w:val="45E6D486"/>
    <w:multiLevelType w:val="hybridMultilevel"/>
    <w:lvl w:ilvl="0">
      <w:lvlJc w:val="left"/>
      <w:lvlText w:val="2"/>
      <w:numFmt w:val="bullet"/>
      <w:start w:val="1"/>
    </w:lvl>
  </w:abstractNum>
  <w:abstractNum w:abstractNumId="92">
    <w:nsid w:val="5C10FE21"/>
    <w:multiLevelType w:val="hybridMultilevel"/>
    <w:lvl w:ilvl="0">
      <w:lvlJc w:val="left"/>
      <w:lvlText w:val="3"/>
      <w:numFmt w:val="bullet"/>
      <w:start w:val="1"/>
    </w:lvl>
  </w:abstractNum>
  <w:abstractNum w:abstractNumId="93">
    <w:nsid w:val="E7FFA2B"/>
    <w:multiLevelType w:val="hybridMultilevel"/>
    <w:lvl w:ilvl="0">
      <w:lvlJc w:val="left"/>
      <w:lvlText w:val="4"/>
      <w:numFmt w:val="bullet"/>
      <w:start w:val="1"/>
    </w:lvl>
  </w:abstractNum>
  <w:abstractNum w:abstractNumId="94">
    <w:nsid w:val="3C5991AA"/>
    <w:multiLevelType w:val="hybridMultilevel"/>
    <w:lvl w:ilvl="0">
      <w:lvlJc w:val="left"/>
      <w:lvlText w:val="5"/>
      <w:numFmt w:val="bullet"/>
      <w:start w:val="1"/>
    </w:lvl>
  </w:abstractNum>
  <w:abstractNum w:abstractNumId="95">
    <w:nsid w:val="4BD8591A"/>
    <w:multiLevelType w:val="hybridMultilevel"/>
    <w:lvl w:ilvl="0">
      <w:lvlJc w:val="left"/>
      <w:lvlText w:val="6"/>
      <w:numFmt w:val="bullet"/>
      <w:start w:val="1"/>
    </w:lvl>
  </w:abstractNum>
  <w:abstractNum w:abstractNumId="96">
    <w:nsid w:val="78DF6A55"/>
    <w:multiLevelType w:val="hybridMultilevel"/>
    <w:lvl w:ilvl="0">
      <w:lvlJc w:val="left"/>
      <w:lvlText w:val="7"/>
      <w:numFmt w:val="bullet"/>
      <w:start w:val="1"/>
    </w:lvl>
  </w:abstractNum>
  <w:abstractNum w:abstractNumId="97">
    <w:nsid w:val="39B7AAA2"/>
    <w:multiLevelType w:val="hybridMultilevel"/>
    <w:lvl w:ilvl="0">
      <w:lvlJc w:val="left"/>
      <w:lvlText w:val="1"/>
      <w:numFmt w:val="bullet"/>
      <w:start w:val="1"/>
    </w:lvl>
  </w:abstractNum>
  <w:abstractNum w:abstractNumId="98">
    <w:nsid w:val="2B0D8DBE"/>
    <w:multiLevelType w:val="hybridMultilevel"/>
    <w:lvl w:ilvl="0">
      <w:lvlJc w:val="left"/>
      <w:lvlText w:val="1"/>
      <w:numFmt w:val="bullet"/>
      <w:start w:val="1"/>
    </w:lvl>
  </w:abstractNum>
  <w:abstractNum w:abstractNumId="99">
    <w:nsid w:val="6C80EC70"/>
    <w:multiLevelType w:val="hybridMultilevel"/>
    <w:lvl w:ilvl="0">
      <w:lvlJc w:val="left"/>
      <w:lvlText w:val="1"/>
      <w:numFmt w:val="bullet"/>
      <w:start w:val="1"/>
    </w:lvl>
  </w:abstractNum>
  <w:abstractNum w:abstractNumId="100">
    <w:nsid w:val="379E21B5"/>
    <w:multiLevelType w:val="hybridMultilevel"/>
    <w:lvl w:ilvl="0">
      <w:lvlJc w:val="left"/>
      <w:lvlText w:val="1"/>
      <w:numFmt w:val="bullet"/>
      <w:start w:val="1"/>
    </w:lvl>
  </w:abstractNum>
  <w:abstractNum w:abstractNumId="101">
    <w:nsid w:val="69E373"/>
    <w:multiLevelType w:val="hybridMultilevel"/>
    <w:lvl w:ilvl="0">
      <w:lvlJc w:val="left"/>
      <w:lvlText w:val="3"/>
      <w:numFmt w:val="bullet"/>
      <w:start w:val="1"/>
    </w:lvl>
  </w:abstractNum>
  <w:abstractNum w:abstractNumId="102">
    <w:nsid w:val="2C27173B"/>
    <w:multiLevelType w:val="hybridMultilevel"/>
    <w:lvl w:ilvl="0">
      <w:lvlJc w:val="left"/>
      <w:lvlText w:val="4"/>
      <w:numFmt w:val="bullet"/>
      <w:start w:val="1"/>
    </w:lvl>
  </w:abstractNum>
  <w:abstractNum w:abstractNumId="103">
    <w:nsid w:val="4C9B0904"/>
    <w:multiLevelType w:val="hybridMultilevel"/>
    <w:lvl w:ilvl="0">
      <w:lvlJc w:val="left"/>
      <w:lvlText w:val="1"/>
      <w:numFmt w:val="bullet"/>
      <w:start w:val="1"/>
    </w:lvl>
  </w:abstractNum>
  <w:abstractNum w:abstractNumId="104">
    <w:nsid w:val="6AA7B75C"/>
    <w:multiLevelType w:val="hybridMultilevel"/>
    <w:lvl w:ilvl="0">
      <w:lvlJc w:val="left"/>
      <w:lvlText w:val="1"/>
      <w:numFmt w:val="bullet"/>
      <w:start w:val="1"/>
    </w:lvl>
  </w:abstractNum>
  <w:abstractNum w:abstractNumId="105">
    <w:nsid w:val="1DF029D3"/>
    <w:multiLevelType w:val="hybridMultilevel"/>
    <w:lvl w:ilvl="0">
      <w:lvlJc w:val="left"/>
      <w:lvlText w:val="1"/>
      <w:numFmt w:val="bullet"/>
      <w:start w:val="1"/>
    </w:lvl>
  </w:abstractNum>
  <w:abstractNum w:abstractNumId="106">
    <w:nsid w:val="5675FF36"/>
    <w:multiLevelType w:val="hybridMultilevel"/>
    <w:lvl w:ilvl="0">
      <w:lvlJc w:val="left"/>
      <w:lvlText w:val="1"/>
      <w:numFmt w:val="bullet"/>
      <w:start w:val="1"/>
    </w:lvl>
  </w:abstractNum>
  <w:abstractNum w:abstractNumId="107">
    <w:nsid w:val="3DD15094"/>
    <w:multiLevelType w:val="hybridMultilevel"/>
    <w:lvl w:ilvl="0">
      <w:lvlJc w:val="left"/>
      <w:lvlText w:val="1"/>
      <w:numFmt w:val="bullet"/>
      <w:start w:val="1"/>
    </w:lvl>
  </w:abstractNum>
  <w:abstractNum w:abstractNumId="108">
    <w:nsid w:val="3DB012B3"/>
    <w:multiLevelType w:val="hybridMultilevel"/>
    <w:lvl w:ilvl="0">
      <w:lvlJc w:val="left"/>
      <w:lvlText w:val="1"/>
      <w:numFmt w:val="bullet"/>
      <w:start w:val="1"/>
    </w:lvl>
  </w:abstractNum>
  <w:abstractNum w:abstractNumId="109">
    <w:nsid w:val="2708C9AF"/>
    <w:multiLevelType w:val="hybridMultilevel"/>
    <w:lvl w:ilvl="0">
      <w:lvlJc w:val="left"/>
      <w:lvlText w:val="1"/>
      <w:numFmt w:val="bullet"/>
      <w:start w:val="1"/>
    </w:lvl>
  </w:abstractNum>
  <w:abstractNum w:abstractNumId="110">
    <w:nsid w:val="5B25ACE2"/>
    <w:multiLevelType w:val="hybridMultilevel"/>
    <w:lvl w:ilvl="0">
      <w:lvlJc w:val="left"/>
      <w:lvlText w:val="1"/>
      <w:numFmt w:val="bullet"/>
      <w:start w:val="1"/>
    </w:lvl>
  </w:abstractNum>
  <w:abstractNum w:abstractNumId="111">
    <w:nsid w:val="175DFCF0"/>
    <w:multiLevelType w:val="hybridMultilevel"/>
    <w:lvl w:ilvl="0">
      <w:lvlJc w:val="left"/>
      <w:lvlText w:val="1"/>
      <w:numFmt w:val="bullet"/>
      <w:start w:val="1"/>
    </w:lvl>
  </w:abstractNum>
  <w:abstractNum w:abstractNumId="112">
    <w:nsid w:val="4F97E3E4"/>
    <w:multiLevelType w:val="hybridMultilevel"/>
    <w:lvl w:ilvl="0">
      <w:lvlJc w:val="left"/>
      <w:lvlText w:val="1"/>
      <w:numFmt w:val="bullet"/>
      <w:start w:val="1"/>
    </w:lvl>
  </w:abstractNum>
  <w:abstractNum w:abstractNumId="113">
    <w:nsid w:val="53B0A9E"/>
    <w:multiLevelType w:val="hybridMultilevel"/>
    <w:lvl w:ilvl="0">
      <w:lvlJc w:val="left"/>
      <w:lvlText w:val="1"/>
      <w:numFmt w:val="bullet"/>
      <w:start w:val="1"/>
    </w:lvl>
  </w:abstractNum>
  <w:abstractNum w:abstractNumId="114">
    <w:nsid w:val="34FD6B4F"/>
    <w:multiLevelType w:val="hybridMultilevel"/>
    <w:lvl w:ilvl="0">
      <w:lvlJc w:val="left"/>
      <w:lvlText w:val="3"/>
      <w:numFmt w:val="bullet"/>
      <w:start w:val="1"/>
    </w:lvl>
  </w:abstractNum>
  <w:abstractNum w:abstractNumId="115">
    <w:nsid w:val="5915FF32"/>
    <w:multiLevelType w:val="hybridMultilevel"/>
    <w:lvl w:ilvl="0">
      <w:lvlJc w:val="left"/>
      <w:lvlText w:val="4"/>
      <w:numFmt w:val="bullet"/>
      <w:start w:val="1"/>
    </w:lvl>
  </w:abstractNum>
  <w:abstractNum w:abstractNumId="116">
    <w:nsid w:val="56438D15"/>
    <w:multiLevelType w:val="hybridMultilevel"/>
    <w:lvl w:ilvl="0">
      <w:lvlJc w:val="left"/>
      <w:lvlText w:val="1"/>
      <w:numFmt w:val="bullet"/>
      <w:start w:val="1"/>
    </w:lvl>
  </w:abstractNum>
  <w:abstractNum w:abstractNumId="117">
    <w:nsid w:val="519E3149"/>
    <w:multiLevelType w:val="hybridMultilevel"/>
    <w:lvl w:ilvl="0">
      <w:lvlJc w:val="left"/>
      <w:lvlText w:val="1"/>
      <w:numFmt w:val="bullet"/>
      <w:start w:val="1"/>
    </w:lvl>
  </w:abstractNum>
  <w:abstractNum w:abstractNumId="118">
    <w:nsid w:val="2C6E4AFD"/>
    <w:multiLevelType w:val="hybridMultilevel"/>
    <w:lvl w:ilvl="0">
      <w:lvlJc w:val="left"/>
      <w:lvlText w:val="2"/>
      <w:numFmt w:val="bullet"/>
      <w:start w:val="1"/>
    </w:lvl>
  </w:abstractNum>
  <w:abstractNum w:abstractNumId="119">
    <w:nsid w:val="17A1B582"/>
    <w:multiLevelType w:val="hybridMultilevel"/>
    <w:lvl w:ilvl="0">
      <w:lvlJc w:val="left"/>
      <w:lvlText w:val="3"/>
      <w:numFmt w:val="bullet"/>
      <w:start w:val="1"/>
    </w:lvl>
  </w:abstractNum>
  <w:abstractNum w:abstractNumId="120">
    <w:nsid w:val="4DF72E4E"/>
    <w:multiLevelType w:val="hybridMultilevel"/>
    <w:lvl w:ilvl="0">
      <w:lvlJc w:val="left"/>
      <w:lvlText w:val="1"/>
      <w:numFmt w:val="bullet"/>
      <w:start w:val="1"/>
    </w:lvl>
  </w:abstractNum>
  <w:abstractNum w:abstractNumId="121">
    <w:nsid w:val="5046B5A9"/>
    <w:multiLevelType w:val="hybridMultilevel"/>
    <w:lvl w:ilvl="0">
      <w:lvlJc w:val="left"/>
      <w:lvlText w:val="2"/>
      <w:numFmt w:val="bullet"/>
      <w:start w:val="1"/>
    </w:lvl>
  </w:abstractNum>
  <w:abstractNum w:abstractNumId="122">
    <w:nsid w:val="5D888A08"/>
    <w:multiLevelType w:val="hybridMultilevel"/>
    <w:lvl w:ilvl="0">
      <w:lvlJc w:val="left"/>
      <w:lvlText w:val="3"/>
      <w:numFmt w:val="bullet"/>
      <w:start w:val="1"/>
    </w:lvl>
  </w:abstractNum>
  <w:abstractNum w:abstractNumId="123">
    <w:nsid w:val="2A082C70"/>
    <w:multiLevelType w:val="hybridMultilevel"/>
    <w:lvl w:ilvl="0">
      <w:lvlJc w:val="left"/>
      <w:lvlText w:val="6"/>
      <w:numFmt w:val="bullet"/>
      <w:start w:val="1"/>
    </w:lvl>
  </w:abstractNum>
  <w:abstractNum w:abstractNumId="124">
    <w:nsid w:val="5EC6AFD4"/>
    <w:multiLevelType w:val="hybridMultilevel"/>
    <w:lvl w:ilvl="0">
      <w:lvlJc w:val="left"/>
      <w:lvlText w:val="1"/>
      <w:numFmt w:val="bullet"/>
      <w:start w:val="1"/>
    </w:lvl>
  </w:abstractNum>
  <w:abstractNum w:abstractNumId="125">
    <w:nsid w:val="19E21BB2"/>
    <w:multiLevelType w:val="hybridMultilevel"/>
    <w:lvl w:ilvl="0">
      <w:lvlJc w:val="left"/>
      <w:lvlText w:val="1"/>
      <w:numFmt w:val="bullet"/>
      <w:start w:val="1"/>
    </w:lvl>
  </w:abstractNum>
  <w:abstractNum w:abstractNumId="126">
    <w:nsid w:val="75E0858A"/>
    <w:multiLevelType w:val="hybridMultilevel"/>
    <w:lvl w:ilvl="0">
      <w:lvlJc w:val="left"/>
      <w:lvlText w:val="•"/>
      <w:numFmt w:val="bullet"/>
      <w:start w:val="1"/>
    </w:lvl>
    <w:lvl w:ilvl="1">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2024-10-29T15:49:00Z</dcterms:created>
  <dcterms:modified xsi:type="dcterms:W3CDTF">2024-10-29T15:49:00Z</dcterms:modified>
</cp:coreProperties>
</file>