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72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Einiger Carol B.</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BXP,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BXP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2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09/30/2024</w:t>
            </w:r>
          </w:p>
        </w:tc>
        <w:tc>
          <w:tcPr>
            <w:tcW w:w="29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800 BOYLSTON STREET</w:t>
            </w:r>
          </w:p>
        </w:tc>
        <w:tc>
          <w:tcPr>
            <w:tcW w:w="118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2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1900</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9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02199</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341.78</w:t>
            </w:r>
          </w:p>
        </w:tc>
        <w:tc>
          <w:tcPr>
            <w:tcW w:w="7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30,853.03</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09/30/2024</w:t>
            </w:r>
          </w:p>
        </w:tc>
        <w:tc>
          <w:tcPr>
            <w:tcW w:w="1100" w:type="dxa"/>
            <w:vAlign w:val="bottom"/>
          </w:tcPr>
          <w:p>
            <w:pPr>
              <w:spacing w:after="0"/>
              <w:rPr>
                <w:sz w:val="6"/>
                <w:szCs w:val="6"/>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341.78</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80.46</w:t>
            </w:r>
          </w:p>
        </w:tc>
        <w:tc>
          <w:tcPr>
            <w:tcW w:w="94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convert to BXP, Inc. common stock on a 1-for-1 basis.</w:t>
      </w:r>
    </w:p>
    <w:p>
      <w:pPr>
        <w:spacing w:after="0" w:line="44" w:lineRule="exact"/>
        <w:rPr>
          <w:rFonts w:ascii="Times New Roman" w:cs="Times New Roman" w:eastAsia="Times New Roman" w:hAnsi="Times New Roman"/>
          <w:sz w:val="13"/>
          <w:szCs w:val="13"/>
          <w:color w:val="008000"/>
        </w:rPr>
      </w:pPr>
    </w:p>
    <w:p>
      <w:pPr>
        <w:ind w:left="40" w:right="24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are awarded under the BXP, Inc. ("BXP")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413.63 Phantom Stock Units received pursuant to dividend equivalent rights which were credited to the Reporting Person on July 31, 2024.</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10/01/2024</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89668" TargetMode="External"/><Relationship Id="rId14"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2024-10-01T10:59:12Z</dcterms:created>
  <dcterms:modified xsi:type="dcterms:W3CDTF">2024-10-01T10:59:12Z</dcterms:modified>
</cp:coreProperties>
</file>